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EF54" w14:textId="3C1B5041" w:rsidR="00D44030" w:rsidRPr="0091086B" w:rsidRDefault="00030553" w:rsidP="00933631">
      <w:pPr>
        <w:spacing w:before="120"/>
        <w:ind w:right="2"/>
        <w:jc w:val="center"/>
        <w:rPr>
          <w:rFonts w:ascii="Arial" w:hAnsi="Arial" w:cs="Arial"/>
          <w:b/>
          <w:bCs/>
          <w:kern w:val="10"/>
          <w:sz w:val="24"/>
          <w:szCs w:val="24"/>
        </w:rPr>
      </w:pP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Ley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de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Reforma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Parcial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del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Decreto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con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Rango,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Valor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y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Fuerza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de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Ley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de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a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las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Grandes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bCs/>
          <w:color w:val="231F20"/>
          <w:kern w:val="10"/>
          <w:sz w:val="24"/>
          <w:szCs w:val="24"/>
        </w:rPr>
        <w:t>Financieras.</w:t>
      </w:r>
    </w:p>
    <w:p w14:paraId="1B38D72C" w14:textId="17293E85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6EA362F0" w14:textId="77777777" w:rsidR="00D44030" w:rsidRPr="001A3905" w:rsidRDefault="00030553" w:rsidP="00933631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ASAMBLEA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</w:p>
    <w:p w14:paraId="0D17749F" w14:textId="77777777" w:rsidR="00D44030" w:rsidRPr="001A3905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LA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DE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VENEZUELA</w:t>
      </w:r>
    </w:p>
    <w:p w14:paraId="07AC9240" w14:textId="734FDBC1" w:rsidR="00D44030" w:rsidRPr="0091086B" w:rsidRDefault="00030553" w:rsidP="00933631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Decreta</w:t>
      </w:r>
    </w:p>
    <w:p w14:paraId="59920F8D" w14:textId="132881EC" w:rsidR="0091086B" w:rsidRDefault="0091086B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siguiente,</w:t>
      </w:r>
    </w:p>
    <w:p w14:paraId="140CE97E" w14:textId="77777777" w:rsidR="0091086B" w:rsidRPr="0091086B" w:rsidRDefault="0091086B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7608C064" w14:textId="77777777" w:rsidR="0091086B" w:rsidRPr="001A3905" w:rsidRDefault="0091086B" w:rsidP="00933631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LEY DE REFORMA PARCIAL DEL DECRETO CON RANGO, VALOR Y FUERZA DE LEY DE IMPUESTO A LAS GRANDES TRANSACCIONES FINANCIERAS</w:t>
      </w:r>
    </w:p>
    <w:p w14:paraId="1B6E6AED" w14:textId="77777777" w:rsidR="0091086B" w:rsidRDefault="0091086B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6397E5A5" w14:textId="7E57EE09" w:rsidR="0091086B" w:rsidRDefault="0091086B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1. </w:t>
      </w:r>
      <w:r w:rsidRPr="001A3905">
        <w:rPr>
          <w:rFonts w:ascii="Arial" w:hAnsi="Arial" w:cs="Arial"/>
          <w:kern w:val="10"/>
          <w:sz w:val="24"/>
          <w:szCs w:val="24"/>
        </w:rPr>
        <w:t>Se modifica el artículo 4, en la forma siguiente:</w:t>
      </w:r>
    </w:p>
    <w:p w14:paraId="0E53CD61" w14:textId="77777777" w:rsidR="002F3F69" w:rsidRPr="001A3905" w:rsidRDefault="002F3F69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3E30503B" w14:textId="2DDA7594" w:rsidR="0091086B" w:rsidRPr="0091086B" w:rsidRDefault="0091086B" w:rsidP="00933631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Sujetos Pasivos</w:t>
      </w:r>
    </w:p>
    <w:p w14:paraId="5AD8799B" w14:textId="3D06182E" w:rsidR="0091086B" w:rsidRPr="001A3905" w:rsidRDefault="0091086B" w:rsidP="00933631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4. </w:t>
      </w:r>
      <w:r w:rsidRPr="001A3905">
        <w:rPr>
          <w:rFonts w:ascii="Arial" w:hAnsi="Arial" w:cs="Arial"/>
          <w:kern w:val="10"/>
          <w:sz w:val="24"/>
          <w:szCs w:val="24"/>
        </w:rPr>
        <w:t>Son contribuyentes de este impuesto:</w:t>
      </w:r>
    </w:p>
    <w:p w14:paraId="3DBE2133" w14:textId="77777777" w:rsidR="0091086B" w:rsidRPr="001A3905" w:rsidRDefault="0091086B" w:rsidP="00933631">
      <w:pPr>
        <w:pStyle w:val="Prrafodelista"/>
        <w:numPr>
          <w:ilvl w:val="0"/>
          <w:numId w:val="7"/>
        </w:numPr>
        <w:tabs>
          <w:tab w:val="left" w:pos="69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personas jurídicas y las entidades económicas sin personalidad jurídica, calificadas como sujetos pasivos especiales, por los pagos que hagan con cargo a sus cuentas en bancos o instituciones financieras.</w:t>
      </w:r>
    </w:p>
    <w:p w14:paraId="420C7EF7" w14:textId="77777777" w:rsidR="0091086B" w:rsidRPr="001A3905" w:rsidRDefault="0091086B" w:rsidP="00933631">
      <w:pPr>
        <w:pStyle w:val="Prrafodelista"/>
        <w:numPr>
          <w:ilvl w:val="0"/>
          <w:numId w:val="7"/>
        </w:numPr>
        <w:tabs>
          <w:tab w:val="left" w:pos="69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personas jurídicas y las entidades económicas sin personalidad jurídica, calificadas como sujetos pasivos especiales, por los pagos que hagan sin mediación de instituciones financieras. Se entiende por cancelación la compensación, novación y condonación de deudas.</w:t>
      </w:r>
    </w:p>
    <w:p w14:paraId="746F909C" w14:textId="77777777" w:rsidR="0091086B" w:rsidRPr="001A3905" w:rsidRDefault="0091086B" w:rsidP="00933631">
      <w:pPr>
        <w:pStyle w:val="Prrafodelista"/>
        <w:numPr>
          <w:ilvl w:val="0"/>
          <w:numId w:val="7"/>
        </w:numPr>
        <w:tabs>
          <w:tab w:val="left" w:pos="69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personas jurídicas y las entidades económicas sin personalidad jurídica, vinculadas jurídicamente a una persona jurídica o entidad económica sin personalidad jurídica, calificada como sujeto pasivo especial, por los pagos que hagan con cargo a sus cuentas en bancos o instituciones financieras o sin mediación de instituciones financieras.</w:t>
      </w:r>
    </w:p>
    <w:p w14:paraId="770BAA6D" w14:textId="77777777" w:rsidR="0091086B" w:rsidRPr="001A3905" w:rsidRDefault="0091086B" w:rsidP="00933631">
      <w:pPr>
        <w:pStyle w:val="Prrafodelista"/>
        <w:numPr>
          <w:ilvl w:val="0"/>
          <w:numId w:val="7"/>
        </w:numPr>
        <w:tabs>
          <w:tab w:val="left" w:pos="69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 xml:space="preserve">Las personas naturales, jurídicas y entidades económicas sin personalidad jurídica, </w:t>
      </w:r>
      <w:proofErr w:type="gramStart"/>
      <w:r w:rsidRPr="001A3905">
        <w:rPr>
          <w:rFonts w:ascii="Arial" w:hAnsi="Arial" w:cs="Arial"/>
          <w:kern w:val="10"/>
          <w:sz w:val="24"/>
          <w:szCs w:val="24"/>
        </w:rPr>
        <w:t>que</w:t>
      </w:r>
      <w:proofErr w:type="gramEnd"/>
      <w:r w:rsidRPr="001A3905">
        <w:rPr>
          <w:rFonts w:ascii="Arial" w:hAnsi="Arial" w:cs="Arial"/>
          <w:kern w:val="10"/>
          <w:sz w:val="24"/>
          <w:szCs w:val="24"/>
        </w:rPr>
        <w:t xml:space="preserve"> sin estar vinculadas jurídicamente a una persona jurídica o entidad económica sin personalidad jurídica, calificada como sujeto pasivo especial, realicen pagos por cuenta de ellas, con cargo a sus cuentas en bancos o instituciones financieras o sin mediación de instituciones financieras.</w:t>
      </w:r>
    </w:p>
    <w:p w14:paraId="3FB33E0F" w14:textId="323F2F4B" w:rsidR="0091086B" w:rsidRPr="0091086B" w:rsidRDefault="0091086B" w:rsidP="00933631">
      <w:pPr>
        <w:pStyle w:val="Prrafodelista"/>
        <w:numPr>
          <w:ilvl w:val="0"/>
          <w:numId w:val="7"/>
        </w:numPr>
        <w:tabs>
          <w:tab w:val="left" w:pos="69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  <w:t>Las personas naturales, jurídicas y las entidades económicas sin personalidad jurídica, por los pagos realizados en moneda distinta a la de curso legal en el país, o en criptomonedas o criptoactivos diferentes a los emitidos por la República Bolivariana de Venezuela, dentro del sistema bancario nacional, sin intermediación de corresponsal bancario extranjero,    de    conformidad    con    las    políticas,    autorizaciones excepcionales y parámetros establecidos por el Banco Central de Venezuela.</w:t>
      </w:r>
    </w:p>
    <w:p w14:paraId="73785FC4" w14:textId="4764834D" w:rsidR="0091086B" w:rsidRDefault="0091086B" w:rsidP="00933631">
      <w:pPr>
        <w:pStyle w:val="Prrafodelista"/>
        <w:numPr>
          <w:ilvl w:val="0"/>
          <w:numId w:val="8"/>
        </w:numPr>
        <w:tabs>
          <w:tab w:val="left" w:pos="459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personas naturales, jurídicas y las entidades económicas sin personalidad jurídica, por los pagos realizados a personas calificadas como sujeto pasivo especial, en moneda distinta a la de curso legal en el país, o en criptomonedas o criptoactivos diferentes a los emitidos por la República Bolivariana de Venezuela, sin mediación de instituciones financieras.</w:t>
      </w:r>
    </w:p>
    <w:p w14:paraId="760DFB55" w14:textId="028BF127" w:rsidR="002F3F69" w:rsidRDefault="002F3F69" w:rsidP="00933631">
      <w:pPr>
        <w:tabs>
          <w:tab w:val="left" w:pos="459"/>
        </w:tabs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4DAF06F6" w14:textId="77777777" w:rsidR="002F3F69" w:rsidRPr="002F3F69" w:rsidRDefault="002F3F69" w:rsidP="00933631">
      <w:pPr>
        <w:tabs>
          <w:tab w:val="left" w:pos="459"/>
        </w:tabs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502E0AD1" w14:textId="6152D281" w:rsidR="0091086B" w:rsidRDefault="0091086B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2. </w:t>
      </w:r>
      <w:r w:rsidRPr="001A3905">
        <w:rPr>
          <w:rFonts w:ascii="Arial" w:hAnsi="Arial" w:cs="Arial"/>
          <w:kern w:val="10"/>
          <w:sz w:val="24"/>
          <w:szCs w:val="24"/>
        </w:rPr>
        <w:t>Se modifica el artículo 8, en la forma siguiente:</w:t>
      </w:r>
    </w:p>
    <w:p w14:paraId="4162976C" w14:textId="77777777" w:rsidR="002F3F69" w:rsidRPr="002F3F69" w:rsidRDefault="002F3F69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02734E96" w14:textId="0CB2303C" w:rsidR="00D44030" w:rsidRPr="002F3F69" w:rsidRDefault="0091086B" w:rsidP="0093363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lastRenderedPageBreak/>
        <w:t>Exenciones</w:t>
      </w:r>
    </w:p>
    <w:p w14:paraId="6E2779E1" w14:textId="2AF12745" w:rsidR="00D44030" w:rsidRPr="001A3905" w:rsidRDefault="00030553" w:rsidP="00933631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8.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exentos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impuesto:</w:t>
      </w:r>
    </w:p>
    <w:p w14:paraId="7B7B999B" w14:textId="77777777" w:rsidR="00D44030" w:rsidRPr="001A3905" w:rsidRDefault="00030553" w:rsidP="00933631">
      <w:pPr>
        <w:pStyle w:val="Prrafodelista"/>
        <w:numPr>
          <w:ilvl w:val="1"/>
          <w:numId w:val="8"/>
        </w:numPr>
        <w:tabs>
          <w:tab w:val="left" w:pos="770"/>
        </w:tabs>
        <w:spacing w:before="120"/>
        <w:ind w:left="0" w:right="2" w:firstLine="0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político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territoriales.</w:t>
      </w:r>
    </w:p>
    <w:p w14:paraId="4FC0CCAA" w14:textId="77777777" w:rsidR="00D44030" w:rsidRPr="001A3905" w:rsidRDefault="00030553" w:rsidP="00933631">
      <w:pPr>
        <w:pStyle w:val="Prrafodelista"/>
        <w:numPr>
          <w:ilvl w:val="1"/>
          <w:numId w:val="8"/>
        </w:numPr>
        <w:tabs>
          <w:tab w:val="left" w:pos="770"/>
        </w:tabs>
        <w:spacing w:before="120"/>
        <w:ind w:left="0" w:right="2" w:firstLine="0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Central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771E6533" w14:textId="710D2FBD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7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="002F3F69">
        <w:rPr>
          <w:rFonts w:ascii="Arial" w:hAnsi="Arial" w:cs="Arial"/>
          <w:kern w:val="10"/>
          <w:sz w:val="24"/>
          <w:szCs w:val="24"/>
        </w:rPr>
        <w:t xml:space="preserve">Las </w:t>
      </w:r>
      <w:r w:rsidRPr="001A3905">
        <w:rPr>
          <w:rFonts w:ascii="Arial" w:hAnsi="Arial" w:cs="Arial"/>
          <w:kern w:val="10"/>
          <w:sz w:val="24"/>
          <w:szCs w:val="24"/>
        </w:rPr>
        <w:t>entidades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carácter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público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con </w:t>
      </w:r>
      <w:r w:rsidRPr="001A3905">
        <w:rPr>
          <w:rFonts w:ascii="Arial" w:hAnsi="Arial" w:cs="Arial"/>
          <w:kern w:val="10"/>
          <w:sz w:val="24"/>
          <w:szCs w:val="24"/>
        </w:rPr>
        <w:t xml:space="preserve">o </w:t>
      </w:r>
      <w:r w:rsidRPr="001A3905">
        <w:rPr>
          <w:rFonts w:ascii="Arial" w:hAnsi="Arial" w:cs="Arial"/>
          <w:kern w:val="10"/>
          <w:sz w:val="24"/>
          <w:szCs w:val="24"/>
        </w:rPr>
        <w:t xml:space="preserve">sin </w:t>
      </w:r>
      <w:r w:rsidRPr="001A3905">
        <w:rPr>
          <w:rFonts w:ascii="Arial" w:hAnsi="Arial" w:cs="Arial"/>
          <w:kern w:val="10"/>
          <w:sz w:val="24"/>
          <w:szCs w:val="24"/>
        </w:rPr>
        <w:t>fines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empresariales,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calificadas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especiales.</w:t>
      </w:r>
    </w:p>
    <w:p w14:paraId="641D53A1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7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operaciones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cambiarias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operador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cambiario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debidamente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autorizado.</w:t>
      </w:r>
    </w:p>
    <w:p w14:paraId="541E3C4D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7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primer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endoso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realice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cheques,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valores,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depósitos en custodia pagados en efectivo y cualquier otro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instrumento negociable.</w:t>
      </w:r>
    </w:p>
    <w:p w14:paraId="26FC36A2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7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generen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compra,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transferencia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 custodia en títulos valores emitidos o avalados por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 o el Banco Central de Venezuela, así como los débitos 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retiros relacionados 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liquidación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capital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intereses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mismos 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 títulos negociados en la bolsa agrícola y la bolsa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valores.</w:t>
      </w:r>
    </w:p>
    <w:p w14:paraId="34C8A477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7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Las operaciones de transferencias de fondos que realice el o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titular entre sus cuentas, en bancos o instituciones financieras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constituidas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 domiciliadas en la República Boliva</w:t>
      </w:r>
      <w:r w:rsidRPr="001A3905">
        <w:rPr>
          <w:rFonts w:ascii="Arial" w:hAnsi="Arial" w:cs="Arial"/>
          <w:kern w:val="10"/>
          <w:sz w:val="24"/>
          <w:szCs w:val="24"/>
        </w:rPr>
        <w:t>riana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exención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 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titular.</w:t>
      </w:r>
    </w:p>
    <w:p w14:paraId="105A4B3D" w14:textId="137ABFDA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8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débitos </w:t>
      </w:r>
      <w:r w:rsidRPr="001A3905">
        <w:rPr>
          <w:rFonts w:ascii="Arial" w:hAnsi="Arial" w:cs="Arial"/>
          <w:kern w:val="10"/>
          <w:sz w:val="24"/>
          <w:szCs w:val="24"/>
        </w:rPr>
        <w:t xml:space="preserve">en </w:t>
      </w:r>
      <w:r w:rsidRPr="001A3905">
        <w:rPr>
          <w:rFonts w:ascii="Arial" w:hAnsi="Arial" w:cs="Arial"/>
          <w:kern w:val="10"/>
          <w:sz w:val="24"/>
          <w:szCs w:val="24"/>
        </w:rPr>
        <w:t xml:space="preserve">cuentas </w:t>
      </w:r>
      <w:r w:rsidRPr="001A3905">
        <w:rPr>
          <w:rFonts w:ascii="Arial" w:hAnsi="Arial" w:cs="Arial"/>
          <w:kern w:val="10"/>
          <w:sz w:val="24"/>
          <w:szCs w:val="24"/>
        </w:rPr>
        <w:t xml:space="preserve">corrientes </w:t>
      </w:r>
      <w:r w:rsidRPr="001A3905">
        <w:rPr>
          <w:rFonts w:ascii="Arial" w:hAnsi="Arial" w:cs="Arial"/>
          <w:kern w:val="10"/>
          <w:sz w:val="24"/>
          <w:szCs w:val="24"/>
        </w:rPr>
        <w:t xml:space="preserve">de </w:t>
      </w:r>
      <w:r w:rsidRPr="001A3905">
        <w:rPr>
          <w:rFonts w:ascii="Arial" w:hAnsi="Arial" w:cs="Arial"/>
          <w:kern w:val="10"/>
          <w:sz w:val="24"/>
          <w:szCs w:val="24"/>
        </w:rPr>
        <w:t>misiones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diplomáticas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 consulares y de sus funcionarios extranjeros 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funcionarias extranjeras acreditados </w:t>
      </w:r>
      <w:r w:rsidRPr="001A3905">
        <w:rPr>
          <w:rFonts w:ascii="Arial" w:hAnsi="Arial" w:cs="Arial"/>
          <w:kern w:val="10"/>
          <w:sz w:val="24"/>
          <w:szCs w:val="24"/>
        </w:rPr>
        <w:t>o acreditadas en la 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73052D1D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8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transferencias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emisión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cheques personales o de gerencia para el pago de tributos cuyo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beneficiario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Tesoro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Nacional.</w:t>
      </w:r>
    </w:p>
    <w:p w14:paraId="28A09617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8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</w:t>
      </w:r>
      <w:r w:rsidRPr="001A3905">
        <w:rPr>
          <w:rFonts w:ascii="Arial" w:hAnsi="Arial" w:cs="Arial"/>
          <w:kern w:val="10"/>
          <w:sz w:val="24"/>
          <w:szCs w:val="24"/>
        </w:rPr>
        <w:t>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retiros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Cámara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Compensación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compensación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tarjetas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crédito, las cuentas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corresponsalía nacional y </w:t>
      </w:r>
      <w:r w:rsidRPr="001A3905">
        <w:rPr>
          <w:rFonts w:ascii="Arial" w:hAnsi="Arial" w:cs="Arial"/>
          <w:kern w:val="10"/>
          <w:sz w:val="24"/>
          <w:szCs w:val="24"/>
        </w:rPr>
        <w:t>las cuentas operativas compensadoras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banca.</w:t>
      </w:r>
    </w:p>
    <w:p w14:paraId="33AAC134" w14:textId="77777777" w:rsidR="00D44030" w:rsidRPr="001A3905" w:rsidRDefault="00030553" w:rsidP="00933631">
      <w:pPr>
        <w:pStyle w:val="Prrafodelista"/>
        <w:numPr>
          <w:ilvl w:val="0"/>
          <w:numId w:val="6"/>
        </w:numPr>
        <w:tabs>
          <w:tab w:val="left" w:pos="830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compra-venta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única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mantenida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 el Banco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Central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22809541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exención prevista en los numerales 5 al 11 de este 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 exclusivamente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moneda de c</w:t>
      </w:r>
      <w:r w:rsidRPr="001A3905">
        <w:rPr>
          <w:rFonts w:ascii="Arial" w:hAnsi="Arial" w:cs="Arial"/>
          <w:kern w:val="10"/>
          <w:sz w:val="24"/>
          <w:szCs w:val="24"/>
        </w:rPr>
        <w:t>urso legal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criptomonedas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criptoactivos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emitidos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3847DF8A" w14:textId="77777777" w:rsidR="002F3F69" w:rsidRDefault="002F3F69" w:rsidP="00933631">
      <w:pPr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2E0954BF" w14:textId="63F08B0C" w:rsidR="00D44030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3.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modifica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13,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1E133130" w14:textId="77777777" w:rsidR="002F3F69" w:rsidRPr="001A3905" w:rsidRDefault="002F3F69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4FBBA85C" w14:textId="6D36A1F8" w:rsidR="002F3F69" w:rsidRPr="002F3F69" w:rsidRDefault="00030553" w:rsidP="0093363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>Impositiva</w:t>
      </w:r>
    </w:p>
    <w:p w14:paraId="7FC78671" w14:textId="66045848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13.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general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aplicable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imponible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correspondiente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Ejecutivo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comprendida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límite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mínimo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(0%)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máximo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dos por ciento (2%), salvo para las transacciones realizadas por 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numerales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5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247DA559" w14:textId="77220AAC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por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 señalados en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numeral </w:t>
      </w:r>
      <w:r w:rsidRPr="001A3905">
        <w:rPr>
          <w:rFonts w:ascii="Arial" w:hAnsi="Arial" w:cs="Arial"/>
          <w:kern w:val="10"/>
          <w:sz w:val="24"/>
          <w:szCs w:val="24"/>
        </w:rPr>
        <w:t xml:space="preserve">5 </w:t>
      </w:r>
      <w:r w:rsidRPr="001A3905">
        <w:rPr>
          <w:rFonts w:ascii="Arial" w:hAnsi="Arial" w:cs="Arial"/>
          <w:kern w:val="10"/>
          <w:sz w:val="24"/>
          <w:szCs w:val="24"/>
        </w:rPr>
        <w:t xml:space="preserve">del artículo 4 de </w:t>
      </w:r>
      <w:r w:rsidRPr="001A3905">
        <w:rPr>
          <w:rFonts w:ascii="Arial" w:hAnsi="Arial" w:cs="Arial"/>
          <w:kern w:val="10"/>
          <w:sz w:val="24"/>
          <w:szCs w:val="24"/>
        </w:rPr>
        <w:t>esta Ley 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 establecida por el Ejecutivo Nacional, y estará comprendida entre 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límite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mínimo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(2%)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máximo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ocho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(8%).</w:t>
      </w:r>
    </w:p>
    <w:p w14:paraId="033D0A66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numeral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 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Ejecutivo Nacional, y estará comprendida </w:t>
      </w:r>
      <w:r w:rsidRPr="001A3905">
        <w:rPr>
          <w:rFonts w:ascii="Arial" w:hAnsi="Arial" w:cs="Arial"/>
          <w:kern w:val="10"/>
          <w:sz w:val="24"/>
          <w:szCs w:val="24"/>
        </w:rPr>
        <w:lastRenderedPageBreak/>
        <w:t>entre un límite mínimo de 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(2%)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máximo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veinte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(20%).</w:t>
      </w:r>
    </w:p>
    <w:p w14:paraId="4E386EED" w14:textId="77777777" w:rsidR="002F3F69" w:rsidRDefault="002F3F69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57C48DF8" w14:textId="287E1F6C" w:rsidR="00D44030" w:rsidRDefault="00030553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4.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modifica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14,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09883526" w14:textId="77777777" w:rsidR="009738BE" w:rsidRPr="001A3905" w:rsidRDefault="009738BE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4EE1AD3" w14:textId="0E27D0B3" w:rsidR="00D44030" w:rsidRPr="009738BE" w:rsidRDefault="00030553" w:rsidP="009738BE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Obligación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Tributaria</w:t>
      </w:r>
    </w:p>
    <w:p w14:paraId="5D87CFBE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14. </w:t>
      </w:r>
      <w:r w:rsidRPr="001A3905">
        <w:rPr>
          <w:rFonts w:ascii="Arial" w:hAnsi="Arial" w:cs="Arial"/>
          <w:kern w:val="10"/>
          <w:sz w:val="24"/>
          <w:szCs w:val="24"/>
        </w:rPr>
        <w:t>El monto de la obligación tributaria a pagar será el 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resulte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impositiva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anterior,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imponible.</w:t>
      </w:r>
    </w:p>
    <w:p w14:paraId="4304BC40" w14:textId="77777777" w:rsidR="009738BE" w:rsidRDefault="009738BE" w:rsidP="00933631">
      <w:pPr>
        <w:pStyle w:val="Textoindependiente"/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3E39839D" w14:textId="496BAE26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5</w:t>
      </w:r>
      <w:r w:rsidRPr="001A3905">
        <w:rPr>
          <w:rFonts w:ascii="Arial" w:hAnsi="Arial" w:cs="Arial"/>
          <w:kern w:val="10"/>
          <w:sz w:val="24"/>
          <w:szCs w:val="24"/>
        </w:rPr>
        <w:t>.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modifica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16,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siguiente.</w:t>
      </w:r>
    </w:p>
    <w:p w14:paraId="6D7567AC" w14:textId="27B6B1ED" w:rsidR="00D44030" w:rsidRPr="009738BE" w:rsidRDefault="00030553" w:rsidP="009738BE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Declaración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</w:p>
    <w:p w14:paraId="4C171AD5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16. </w:t>
      </w:r>
      <w:r w:rsidRPr="001A3905">
        <w:rPr>
          <w:rFonts w:ascii="Arial" w:hAnsi="Arial" w:cs="Arial"/>
          <w:kern w:val="10"/>
          <w:sz w:val="24"/>
          <w:szCs w:val="24"/>
        </w:rPr>
        <w:t>Los contribuyentes y los responsables, según el caso, deben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declarar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reglas:</w:t>
      </w:r>
    </w:p>
    <w:p w14:paraId="2D6D4634" w14:textId="77777777" w:rsidR="00D44030" w:rsidRPr="001A3905" w:rsidRDefault="00030553" w:rsidP="00933631">
      <w:pPr>
        <w:pStyle w:val="Prrafodelista"/>
        <w:numPr>
          <w:ilvl w:val="0"/>
          <w:numId w:val="5"/>
        </w:numPr>
        <w:tabs>
          <w:tab w:val="left" w:pos="713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>
        <w:pict w14:anchorId="161B07B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51.45pt;margin-top:17.1pt;width:176.4pt;height:9.2pt;z-index:-161044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EFD9A39" w14:textId="77777777" w:rsidR="00D44030" w:rsidRDefault="00030553">
                  <w:pPr>
                    <w:pStyle w:val="Textoindependiente"/>
                    <w:spacing w:before="2"/>
                  </w:pPr>
                  <w:r>
                    <w:rPr>
                      <w:w w:val="105"/>
                    </w:rPr>
                    <w:t>cuentas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bancos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otras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instituciones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financieras.</w:t>
                  </w:r>
                </w:p>
              </w:txbxContent>
            </v:textbox>
            <w10:wrap anchorx="page"/>
          </v:shape>
        </w:pict>
      </w:r>
      <w:r>
        <w:pict w14:anchorId="6B7C2102">
          <v:shape id="_x0000_s2051" alt="" style="position:absolute;left:0;text-align:left;margin-left:42.5pt;margin-top:17.25pt;width:276.05pt;height:76.85pt;z-index:-16102912;mso-wrap-edited:f;mso-width-percent:0;mso-height-percent:0;mso-position-horizontal-relative:page;mso-width-percent:0;mso-height-percent:0" coordsize="5521,1537" o:spt="100" adj="0,,0" path="m4092,l,,,354r4092,l4092,xm5521,357r-5390,l131,1536r5390,l5521,357xe" stroked="f">
            <v:stroke joinstyle="round"/>
            <v:formulas/>
            <v:path arrowok="t" o:connecttype="custom" o:connectlocs="2598420,219075;0,219075;0,443865;2598420,443865;2598420,219075;3505835,445770;83185,445770;83185,1194435;3505835,1194435;3505835,445770" o:connectangles="0,0,0,0,0,0,0,0,0,0"/>
            <w10:wrap anchorx="page"/>
          </v:shape>
        </w:pict>
      </w:r>
      <w:r w:rsidRPr="001A3905">
        <w:rPr>
          <w:rFonts w:ascii="Arial" w:hAnsi="Arial" w:cs="Arial"/>
          <w:kern w:val="10"/>
          <w:sz w:val="24"/>
          <w:szCs w:val="24"/>
        </w:rPr>
        <w:t>Cada día, el impuesto que recae sobre los débitos efectuados 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 de 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otras 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542B1726" w14:textId="77777777" w:rsidR="00D44030" w:rsidRPr="001A3905" w:rsidRDefault="00030553" w:rsidP="00933631">
      <w:pPr>
        <w:pStyle w:val="Prrafodelista"/>
        <w:numPr>
          <w:ilvl w:val="0"/>
          <w:numId w:val="5"/>
        </w:numPr>
        <w:tabs>
          <w:tab w:val="left" w:pos="67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>
        <w:pict w14:anchorId="0BFB5102">
          <v:shape id="_x0000_s2050" type="#_x0000_t202" alt="" style="position:absolute;left:0;text-align:left;margin-left:64.15pt;margin-top:7.25pt;width:247.3pt;height:50.55pt;z-index:-161039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102B367" w14:textId="77777777" w:rsidR="00D44030" w:rsidRDefault="00030553">
                  <w:pPr>
                    <w:pStyle w:val="Textoindependiente"/>
                    <w:spacing w:before="2" w:line="364" w:lineRule="auto"/>
                    <w:jc w:val="both"/>
                  </w:pPr>
                  <w:r>
                    <w:rPr>
                      <w:w w:val="105"/>
                    </w:rPr>
                    <w:t>2.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Conforme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Calendario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Pagos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Retenciones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Impuesto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Valor Agregado para Contribuyent</w:t>
                  </w:r>
                  <w:r>
                    <w:rPr>
                      <w:w w:val="105"/>
                    </w:rPr>
                    <w:t>es Especiales, el impuesto que recae</w:t>
                  </w:r>
                  <w:r>
                    <w:rPr>
                      <w:spacing w:val="-4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cancelación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deudas</w:t>
                  </w:r>
                  <w:r>
                    <w:rPr>
                      <w:spacing w:val="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mediante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pago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mecanismos</w:t>
                  </w:r>
                </w:p>
                <w:p w14:paraId="2FA9275A" w14:textId="77777777" w:rsidR="00D44030" w:rsidRDefault="00030553">
                  <w:pPr>
                    <w:pStyle w:val="Textoindependiente"/>
                    <w:spacing w:before="1"/>
                    <w:jc w:val="both"/>
                  </w:pPr>
                  <w:r>
                    <w:rPr>
                      <w:w w:val="105"/>
                    </w:rPr>
                    <w:t>de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extinción,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mediación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bancos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otras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instituciones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financieras.</w:t>
                  </w:r>
                </w:p>
              </w:txbxContent>
            </v:textbox>
            <w10:wrap anchorx="page"/>
          </v:shape>
        </w:pict>
      </w:r>
      <w:r w:rsidRPr="001A3905">
        <w:rPr>
          <w:rFonts w:ascii="Arial" w:hAnsi="Arial" w:cs="Arial"/>
          <w:kern w:val="10"/>
          <w:sz w:val="24"/>
          <w:szCs w:val="24"/>
        </w:rPr>
        <w:t>Conforme al Calendario de Pagos de las Retenciones del Impuesto 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Valor Agregado para Contribuyentes Especiales, el impuesto que recae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sobre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mecanismos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extinción,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1423F9FA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Parágrafo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único: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declaración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efectuarse,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lugar,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condiciones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establezca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Administración Tributaria Nacional mediante Providencia Administrativa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carácter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general.</w:t>
      </w:r>
    </w:p>
    <w:p w14:paraId="46165D39" w14:textId="77777777" w:rsidR="009738BE" w:rsidRDefault="009738BE" w:rsidP="00933631">
      <w:pPr>
        <w:pStyle w:val="Textoindependiente"/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4339B83F" w14:textId="630336D6" w:rsidR="00D44030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6.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modifica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20,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0D5B9580" w14:textId="77777777" w:rsidR="009738BE" w:rsidRPr="001A3905" w:rsidRDefault="009738BE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6FF97922" w14:textId="0D82F63E" w:rsidR="00D44030" w:rsidRPr="009738BE" w:rsidRDefault="00030553" w:rsidP="009738BE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Declaraciones</w:t>
      </w:r>
    </w:p>
    <w:p w14:paraId="50A90B9B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20.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declaraciones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requieran,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Providencias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Administrativas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deberán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elaboradas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formularios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bajo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especificaciones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técnicas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publicadas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ésta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Portal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Fiscal.</w:t>
      </w:r>
    </w:p>
    <w:p w14:paraId="002F15B3" w14:textId="147D7E13" w:rsidR="00D44030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33B055DB" w14:textId="77777777" w:rsidR="009738BE" w:rsidRPr="001A3905" w:rsidRDefault="009738BE" w:rsidP="009738BE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7: </w:t>
      </w:r>
      <w:r w:rsidRPr="001A3905">
        <w:rPr>
          <w:rFonts w:ascii="Arial" w:hAnsi="Arial" w:cs="Arial"/>
          <w:kern w:val="10"/>
          <w:sz w:val="24"/>
          <w:szCs w:val="24"/>
        </w:rPr>
        <w:t>Se modifica el artículo 22, en la forma siguiente:</w:t>
      </w:r>
    </w:p>
    <w:p w14:paraId="71C1B14B" w14:textId="77777777" w:rsidR="009738BE" w:rsidRPr="001A3905" w:rsidRDefault="009738BE" w:rsidP="009738BE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EBB765E" w14:textId="77777777" w:rsidR="009738BE" w:rsidRPr="001A3905" w:rsidRDefault="009738BE" w:rsidP="009738BE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Sanciones</w:t>
      </w:r>
    </w:p>
    <w:p w14:paraId="0F5CDBD6" w14:textId="77777777" w:rsidR="009738BE" w:rsidRPr="001A3905" w:rsidRDefault="009738BE" w:rsidP="009738BE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22. </w:t>
      </w:r>
      <w:r w:rsidRPr="001A3905">
        <w:rPr>
          <w:rFonts w:ascii="Arial" w:hAnsi="Arial" w:cs="Arial"/>
          <w:kern w:val="10"/>
          <w:sz w:val="24"/>
          <w:szCs w:val="24"/>
        </w:rPr>
        <w:t>El incumplimiento de las obligaciones establecidas en esta Ley, será sancionado de conformidad con lo dispuesto en el Decreto Constituyente mediante el cual dicta el Código Orgánico Tributario.</w:t>
      </w:r>
    </w:p>
    <w:p w14:paraId="2D5A6C61" w14:textId="00FC980A" w:rsidR="009738BE" w:rsidRDefault="009738BE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7818EB5B" w14:textId="179E147D" w:rsidR="00707745" w:rsidRPr="001A3905" w:rsidRDefault="00707745" w:rsidP="00707745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8: </w:t>
      </w:r>
      <w:r w:rsidRPr="001A3905">
        <w:rPr>
          <w:rFonts w:ascii="Arial" w:hAnsi="Arial" w:cs="Arial"/>
          <w:kern w:val="10"/>
          <w:sz w:val="24"/>
          <w:szCs w:val="24"/>
        </w:rPr>
        <w:t>Se agrega un Capítulo VII de las Disposiciones Transitorias y</w:t>
      </w:r>
      <w:r>
        <w:rPr>
          <w:rFonts w:ascii="Arial" w:hAnsi="Arial" w:cs="Arial"/>
          <w:kern w:val="10"/>
          <w:sz w:val="24"/>
          <w:szCs w:val="24"/>
        </w:rPr>
        <w:t xml:space="preserve"> Finales</w:t>
      </w:r>
    </w:p>
    <w:p w14:paraId="75616017" w14:textId="786A66F2" w:rsidR="009738BE" w:rsidRDefault="009738BE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55A753A1" w14:textId="77777777" w:rsidR="00707745" w:rsidRPr="001A3905" w:rsidRDefault="00707745" w:rsidP="00707745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9: </w:t>
      </w:r>
      <w:r w:rsidRPr="001A3905">
        <w:rPr>
          <w:rFonts w:ascii="Arial" w:hAnsi="Arial" w:cs="Arial"/>
          <w:kern w:val="10"/>
          <w:sz w:val="24"/>
          <w:szCs w:val="24"/>
        </w:rPr>
        <w:t>Se agrega un artículo 23 en la forma siguiente:</w:t>
      </w:r>
    </w:p>
    <w:p w14:paraId="24FC59B0" w14:textId="77777777" w:rsidR="009738BE" w:rsidRPr="001A3905" w:rsidRDefault="009738BE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9602615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23. </w:t>
      </w:r>
      <w:r w:rsidRPr="001A3905">
        <w:rPr>
          <w:rFonts w:ascii="Arial" w:hAnsi="Arial" w:cs="Arial"/>
          <w:kern w:val="10"/>
          <w:sz w:val="24"/>
          <w:szCs w:val="24"/>
        </w:rPr>
        <w:t>El Ejecutivo Nacional, dentro de las medidas de política fiscal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aplicables de </w:t>
      </w:r>
      <w:r w:rsidRPr="001A3905">
        <w:rPr>
          <w:rFonts w:ascii="Arial" w:hAnsi="Arial" w:cs="Arial"/>
          <w:kern w:val="10"/>
          <w:sz w:val="24"/>
          <w:szCs w:val="24"/>
        </w:rPr>
        <w:lastRenderedPageBreak/>
        <w:t>conformidad con la situación coyuntural, sectorial y regional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la economía del país, podrá exonerar total o parcialmente del 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</w:t>
      </w:r>
      <w:r w:rsidRPr="001A3905">
        <w:rPr>
          <w:rFonts w:ascii="Arial" w:hAnsi="Arial" w:cs="Arial"/>
          <w:kern w:val="10"/>
          <w:sz w:val="24"/>
          <w:szCs w:val="24"/>
        </w:rPr>
        <w:t>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determinados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segmentos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sectores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económicos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país.</w:t>
      </w:r>
    </w:p>
    <w:p w14:paraId="68A1B3FE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decretos de exoneración que se dicten en ejecución de esta norma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deberán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condiciones,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plazos,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requisitos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controles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requeridos,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 de lograr las finalidades de política fiscal perseguidas en el orden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coyuntural,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sectorial y regional.</w:t>
      </w:r>
    </w:p>
    <w:p w14:paraId="1E8300A0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En todo caso, la exoneración concedida a las transacciones realizadas 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 contribuyentes señalados en los numerales 5 y 6 del artículo 4 de 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 será igualmente otorgada a las transacciones realizadas en moneda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curso legal en el país o en criptomonedas o criptoactivos emitidos por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2D2E23F4" w14:textId="77777777" w:rsidR="00707745" w:rsidRDefault="00707745" w:rsidP="00933631">
      <w:pPr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22BBBC70" w14:textId="0F403496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10: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agrega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24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1738E503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7CB67323" w14:textId="5E2609BA" w:rsidR="00D44030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24. </w:t>
      </w:r>
      <w:r w:rsidRPr="001A3905">
        <w:rPr>
          <w:rFonts w:ascii="Arial" w:hAnsi="Arial" w:cs="Arial"/>
          <w:kern w:val="10"/>
          <w:sz w:val="24"/>
          <w:szCs w:val="24"/>
        </w:rPr>
        <w:t>Hasta tanto el Ejecutivo Nacional establezca una 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distinta, se fija la alícuota en dos por ciento (2%) para las 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 por los contribuyentes señalados en los numerales 1 al 4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artículo 4 de esta Ley y en tres por </w:t>
      </w:r>
      <w:r w:rsidRPr="001A3905">
        <w:rPr>
          <w:rFonts w:ascii="Arial" w:hAnsi="Arial" w:cs="Arial"/>
          <w:kern w:val="10"/>
          <w:sz w:val="24"/>
          <w:szCs w:val="24"/>
        </w:rPr>
        <w:t>ciento (3%) para las 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efectuadas por los contribuyentes señalados en los numerales 5 y 6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74500659" w14:textId="77777777" w:rsidR="00707745" w:rsidRPr="001A3905" w:rsidRDefault="00707745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7E6BF7C1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11: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agrega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25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0F0C92A4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706243DD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25. </w:t>
      </w:r>
      <w:r w:rsidRPr="001A3905">
        <w:rPr>
          <w:rFonts w:ascii="Arial" w:hAnsi="Arial" w:cs="Arial"/>
          <w:kern w:val="10"/>
          <w:sz w:val="24"/>
          <w:szCs w:val="24"/>
        </w:rPr>
        <w:t>Esta Ley entrará en vigencia a los treinta (30) días continuos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siguientes a su publicación en la Gaceta Oficial de la República 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3DF5AABA" w14:textId="77777777" w:rsidR="00707745" w:rsidRDefault="00707745" w:rsidP="00933631">
      <w:pPr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04D26E86" w14:textId="3D10861C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12: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agrega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26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siguiente:</w:t>
      </w:r>
    </w:p>
    <w:p w14:paraId="17E6BA43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09845CEF" w14:textId="14A37126" w:rsidR="00D44030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26. </w:t>
      </w:r>
      <w:r w:rsidRPr="001A3905">
        <w:rPr>
          <w:rFonts w:ascii="Arial" w:hAnsi="Arial" w:cs="Arial"/>
          <w:kern w:val="10"/>
          <w:sz w:val="24"/>
          <w:szCs w:val="24"/>
        </w:rPr>
        <w:t>El Servicio Nacional de Administración Aduanera y 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(SENIAT),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determinaciones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oficio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proofErr w:type="gramStart"/>
      <w:r w:rsidRPr="001A3905">
        <w:rPr>
          <w:rFonts w:ascii="Arial" w:hAnsi="Arial" w:cs="Arial"/>
          <w:kern w:val="10"/>
          <w:sz w:val="24"/>
          <w:szCs w:val="24"/>
        </w:rPr>
        <w:t xml:space="preserve">del 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proofErr w:type="gramEnd"/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establecido en esta Ley, sobre base cierta o sobre base presuntiva,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conformidad con lo dispuesto en el Decreto Constituyente me</w:t>
      </w:r>
      <w:r w:rsidRPr="001A3905">
        <w:rPr>
          <w:rFonts w:ascii="Arial" w:hAnsi="Arial" w:cs="Arial"/>
          <w:kern w:val="10"/>
          <w:sz w:val="24"/>
          <w:szCs w:val="24"/>
        </w:rPr>
        <w:t>diante el cual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 Código Orgánico Tributario.</w:t>
      </w:r>
    </w:p>
    <w:p w14:paraId="5D386E88" w14:textId="77777777" w:rsidR="00707745" w:rsidRPr="001A3905" w:rsidRDefault="00707745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01B5E7D7" w14:textId="58F54C4B" w:rsidR="00D44030" w:rsidRPr="001A3905" w:rsidRDefault="00030553" w:rsidP="00707745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13: </w:t>
      </w:r>
      <w:r w:rsidRPr="001A3905">
        <w:rPr>
          <w:rFonts w:ascii="Arial" w:hAnsi="Arial" w:cs="Arial"/>
          <w:kern w:val="10"/>
          <w:sz w:val="24"/>
          <w:szCs w:val="24"/>
        </w:rPr>
        <w:t>De conformidad con lo establecido en el artículo 5 de la 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Publicaciones Oficiales, imprímase en un solo texto el Decreto 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Rango, Valor y Fuerza de Ley de Impuesto a las Grandes Tr</w:t>
      </w:r>
      <w:r w:rsidRPr="001A3905">
        <w:rPr>
          <w:rFonts w:ascii="Arial" w:hAnsi="Arial" w:cs="Arial"/>
          <w:kern w:val="10"/>
          <w:sz w:val="24"/>
          <w:szCs w:val="24"/>
        </w:rPr>
        <w:t>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 con las reformas aquí sancionadas, y en el correspondiente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texto íntegro sustitúyanse los términos “Decreto con Rango, Valor y Fuerza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Ley” por “Ley”, corríjase la enumeración de los artículos y sustitúyanse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fechas,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firmas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</w:t>
      </w:r>
      <w:r w:rsidRPr="001A3905">
        <w:rPr>
          <w:rFonts w:ascii="Arial" w:hAnsi="Arial" w:cs="Arial"/>
          <w:kern w:val="10"/>
          <w:sz w:val="24"/>
          <w:szCs w:val="24"/>
        </w:rPr>
        <w:t>emás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datos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hubiere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lugar.</w:t>
      </w:r>
    </w:p>
    <w:p w14:paraId="3A8BE62B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409C8E8" w14:textId="77777777" w:rsidR="00D44030" w:rsidRPr="001A3905" w:rsidRDefault="00030553" w:rsidP="00933631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ASAMBLEA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</w:p>
    <w:p w14:paraId="266D2920" w14:textId="77777777" w:rsidR="00D44030" w:rsidRPr="001A3905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LA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DE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VENEZUELA</w:t>
      </w:r>
    </w:p>
    <w:p w14:paraId="44CF76FC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66146A86" w14:textId="77777777" w:rsidR="00D44030" w:rsidRPr="001A3905" w:rsidRDefault="00030553" w:rsidP="00933631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Decreta</w:t>
      </w:r>
    </w:p>
    <w:p w14:paraId="1945A22A" w14:textId="2A87EDF6" w:rsidR="00D44030" w:rsidRPr="001A3905" w:rsidRDefault="00030553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siguiente,</w:t>
      </w:r>
    </w:p>
    <w:p w14:paraId="1F6ADDD5" w14:textId="77777777" w:rsidR="00D44030" w:rsidRPr="001A3905" w:rsidRDefault="00030553" w:rsidP="009D1138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lastRenderedPageBreak/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GRANDES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</w:t>
      </w:r>
    </w:p>
    <w:p w14:paraId="316270B1" w14:textId="3BC0B71B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3C32D14A" w14:textId="0493DCAD" w:rsidR="009D1138" w:rsidRDefault="00030553" w:rsidP="009D1138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CAPÍTULO I</w:t>
      </w:r>
    </w:p>
    <w:p w14:paraId="2889FD1C" w14:textId="519780BE" w:rsidR="00D44030" w:rsidRPr="001A3905" w:rsidRDefault="00030553" w:rsidP="009D1138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DISPOSICIONES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GENERALES</w:t>
      </w:r>
    </w:p>
    <w:p w14:paraId="100EB3D7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1F160850" w14:textId="77777777" w:rsidR="00D44030" w:rsidRPr="001A3905" w:rsidRDefault="00030553" w:rsidP="009D1138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Objeto</w:t>
      </w:r>
    </w:p>
    <w:p w14:paraId="7CF0BFCF" w14:textId="6A15FA91" w:rsidR="00D44030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tiene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objeto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creación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grava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 grandes transacciones financieras, en los términos previstos en 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683A6C95" w14:textId="77777777" w:rsidR="009D1138" w:rsidRPr="001A3905" w:rsidRDefault="009D1138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1ACC6DA9" w14:textId="2F97B560" w:rsidR="009D1138" w:rsidRDefault="00030553" w:rsidP="009D1138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Competencia</w:t>
      </w:r>
    </w:p>
    <w:p w14:paraId="5BDAF267" w14:textId="378595B1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2. </w:t>
      </w:r>
      <w:r w:rsidRPr="001A3905">
        <w:rPr>
          <w:rFonts w:ascii="Arial" w:hAnsi="Arial" w:cs="Arial"/>
          <w:kern w:val="10"/>
          <w:sz w:val="24"/>
          <w:szCs w:val="24"/>
        </w:rPr>
        <w:t>La administración, recaudación, fiscalización y control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 refiere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Poder Público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Nacional.</w:t>
      </w:r>
    </w:p>
    <w:p w14:paraId="79923D5E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3959BC9A" w14:textId="77777777" w:rsidR="009D1138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CAPÍTULO II</w:t>
      </w:r>
    </w:p>
    <w:p w14:paraId="7A494B30" w14:textId="42A5415A" w:rsidR="00D44030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IMPUESTO</w:t>
      </w:r>
    </w:p>
    <w:p w14:paraId="58C8F8A1" w14:textId="77777777" w:rsidR="009D1138" w:rsidRPr="001A3905" w:rsidRDefault="009D1138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</w:p>
    <w:p w14:paraId="68D65D02" w14:textId="77777777" w:rsidR="00D44030" w:rsidRPr="001A3905" w:rsidRDefault="00030553" w:rsidP="0093363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Hecho Imponible</w:t>
      </w:r>
    </w:p>
    <w:p w14:paraId="59AA9228" w14:textId="30F717A6" w:rsidR="00D44030" w:rsidRPr="001A3905" w:rsidRDefault="00030553" w:rsidP="009D1138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3.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Constituyen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hechos imponibles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impuesto:</w:t>
      </w:r>
    </w:p>
    <w:p w14:paraId="7FB5E391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débitos en cuentas bancarias, de corresponsalía, depósitos 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custodia o en cualquier otra clase de depósitos a la vista, fondos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activos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líquidos,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fiduciarios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fondos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mercado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cualquier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instrumento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7FE83D1D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cesión de cheques, valores, depósitos en custodia pagados 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cualquier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instrumento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negociable,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partir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segundo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endoso.</w:t>
      </w:r>
    </w:p>
    <w:p w14:paraId="0B7D8317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adquisición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cheques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gerencia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efectivo.</w:t>
      </w:r>
    </w:p>
    <w:p w14:paraId="691ABF14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operaciones activas efectuadas por bancos y otras 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mismas,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tengan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plazos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inferiores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dos</w:t>
      </w:r>
    </w:p>
    <w:p w14:paraId="4221452C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(02)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días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hábiles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bancarios.</w:t>
      </w:r>
    </w:p>
    <w:p w14:paraId="116779D6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transferencia de valores en custodia entre distintos titulares, aun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cuando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exista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desembolso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través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cuenta.</w:t>
      </w:r>
    </w:p>
    <w:p w14:paraId="49B9B9D8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sistema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extinción.</w:t>
      </w:r>
    </w:p>
    <w:p w14:paraId="751B68A9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sistemas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organizados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privados, no operados por el Banco Central de Venezuela y distintos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Sistema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Pagos.</w:t>
      </w:r>
    </w:p>
    <w:p w14:paraId="378B0964" w14:textId="77777777" w:rsidR="00D44030" w:rsidRPr="001A3905" w:rsidRDefault="00030553" w:rsidP="00933631">
      <w:pPr>
        <w:pStyle w:val="Prrafodelista"/>
        <w:numPr>
          <w:ilvl w:val="0"/>
          <w:numId w:val="4"/>
        </w:numPr>
        <w:tabs>
          <w:tab w:val="left" w:pos="71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débitos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transfronterizos.</w:t>
      </w:r>
    </w:p>
    <w:p w14:paraId="168D5311" w14:textId="77777777" w:rsidR="009D1138" w:rsidRDefault="009D1138" w:rsidP="00933631">
      <w:pPr>
        <w:pStyle w:val="Ttulo2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6BF40DAD" w14:textId="12530902" w:rsidR="00D44030" w:rsidRPr="001A3905" w:rsidRDefault="00030553" w:rsidP="00933631">
      <w:pPr>
        <w:pStyle w:val="Ttulo2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Sujetos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Pasivos</w:t>
      </w:r>
    </w:p>
    <w:p w14:paraId="631F2C77" w14:textId="46B875A3" w:rsidR="00D44030" w:rsidRPr="001A3905" w:rsidRDefault="00030553" w:rsidP="009D1138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4.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impuesto:</w:t>
      </w:r>
    </w:p>
    <w:p w14:paraId="3DF9B6AF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716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personas jurídicas y las entidades económicas sin personalidad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calificadas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hagan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cargo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sus cuentas 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2FE22F2B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716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lastRenderedPageBreak/>
        <w:t>Las personas jurídicas y las entidades económic</w:t>
      </w:r>
      <w:r w:rsidRPr="001A3905">
        <w:rPr>
          <w:rFonts w:ascii="Arial" w:hAnsi="Arial" w:cs="Arial"/>
          <w:kern w:val="10"/>
          <w:sz w:val="24"/>
          <w:szCs w:val="24"/>
        </w:rPr>
        <w:t>as sin personalidad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calificadas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hagan sin mediación de instituciones financieras. Se entiende 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compensación,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novación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condonación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deudas.</w:t>
      </w:r>
    </w:p>
    <w:p w14:paraId="13384510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716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ab/>
      </w:r>
      <w:r w:rsidRPr="001A3905">
        <w:rPr>
          <w:rFonts w:ascii="Arial" w:hAnsi="Arial" w:cs="Arial"/>
          <w:kern w:val="10"/>
          <w:sz w:val="24"/>
          <w:szCs w:val="24"/>
        </w:rPr>
        <w:t>Las personas jurídicas y las entidades económicas sin personalidad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jurídica, vinculadas jurídicamente a una persona jurídica o entidad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económica sin personalidad jurídica, calificada como sujeto pasivo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hagan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cargo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</w:t>
      </w:r>
      <w:r w:rsidRPr="001A3905">
        <w:rPr>
          <w:rFonts w:ascii="Arial" w:hAnsi="Arial" w:cs="Arial"/>
          <w:kern w:val="10"/>
          <w:sz w:val="24"/>
          <w:szCs w:val="24"/>
        </w:rPr>
        <w:t>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70BE3261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674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naturales,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entidades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personalidad jurídica, </w:t>
      </w:r>
      <w:proofErr w:type="gramStart"/>
      <w:r w:rsidRPr="001A3905">
        <w:rPr>
          <w:rFonts w:ascii="Arial" w:hAnsi="Arial" w:cs="Arial"/>
          <w:kern w:val="10"/>
          <w:sz w:val="24"/>
          <w:szCs w:val="24"/>
        </w:rPr>
        <w:t>que</w:t>
      </w:r>
      <w:proofErr w:type="gramEnd"/>
      <w:r w:rsidRPr="001A3905">
        <w:rPr>
          <w:rFonts w:ascii="Arial" w:hAnsi="Arial" w:cs="Arial"/>
          <w:kern w:val="10"/>
          <w:sz w:val="24"/>
          <w:szCs w:val="24"/>
        </w:rPr>
        <w:t xml:space="preserve"> sin estar vinculadas jurídicamente a 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personalidad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calificada como sujeto pasivo especial, realicen pagos por cuenta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ellas, con cargo a sus cuentas en bancos o institucione</w:t>
      </w:r>
      <w:r w:rsidRPr="001A3905">
        <w:rPr>
          <w:rFonts w:ascii="Arial" w:hAnsi="Arial" w:cs="Arial"/>
          <w:kern w:val="10"/>
          <w:sz w:val="24"/>
          <w:szCs w:val="24"/>
        </w:rPr>
        <w:t>s financieras 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4B9F9C96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674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naturales,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entidades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personalidad jurídica, por los pagos realizados en moneda distinta a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curso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legal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país,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criptomonedas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criptoactivos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diferentes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 los emitidos por la República Bolivariana de Venezuela, dentro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sistema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intermediación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corresponsal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extranjero,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políticas,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autorizaciones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excepcionales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parámetros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</w:t>
      </w:r>
      <w:r w:rsidRPr="001A3905">
        <w:rPr>
          <w:rFonts w:ascii="Arial" w:hAnsi="Arial" w:cs="Arial"/>
          <w:kern w:val="10"/>
          <w:sz w:val="24"/>
          <w:szCs w:val="24"/>
        </w:rPr>
        <w:t>ntral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45470F51" w14:textId="77777777" w:rsidR="00D44030" w:rsidRPr="001A3905" w:rsidRDefault="00030553" w:rsidP="00933631">
      <w:pPr>
        <w:pStyle w:val="Prrafodelista"/>
        <w:numPr>
          <w:ilvl w:val="0"/>
          <w:numId w:val="3"/>
        </w:numPr>
        <w:tabs>
          <w:tab w:val="left" w:pos="674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naturales,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jurídicas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entidades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personalidad jurídica, por los pagos realizados a personas calificadas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moneda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distinta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curso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legal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país,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criptomonedas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criptoactivos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diferentes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emitidos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 República Bolivariana de Venezuela, sin mediación de 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522374AF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01022B22" w14:textId="4B3D5D6A" w:rsidR="009D1138" w:rsidRDefault="00030553" w:rsidP="009D1138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Obligación de pago del impuesto</w:t>
      </w:r>
    </w:p>
    <w:p w14:paraId="35404ABF" w14:textId="0C358FD7" w:rsidR="00D44030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5. </w:t>
      </w:r>
      <w:r w:rsidRPr="001A3905">
        <w:rPr>
          <w:rFonts w:ascii="Arial" w:hAnsi="Arial" w:cs="Arial"/>
          <w:kern w:val="10"/>
          <w:sz w:val="24"/>
          <w:szCs w:val="24"/>
        </w:rPr>
        <w:t xml:space="preserve">La obligación de pagar el impuesto </w:t>
      </w:r>
      <w:proofErr w:type="gramStart"/>
      <w:r w:rsidRPr="001A3905">
        <w:rPr>
          <w:rFonts w:ascii="Arial" w:hAnsi="Arial" w:cs="Arial"/>
          <w:kern w:val="10"/>
          <w:sz w:val="24"/>
          <w:szCs w:val="24"/>
        </w:rPr>
        <w:t>subsistirá</w:t>
      </w:r>
      <w:proofErr w:type="gramEnd"/>
      <w:r w:rsidRPr="001A3905">
        <w:rPr>
          <w:rFonts w:ascii="Arial" w:hAnsi="Arial" w:cs="Arial"/>
          <w:kern w:val="10"/>
          <w:sz w:val="24"/>
          <w:szCs w:val="24"/>
        </w:rPr>
        <w:t xml:space="preserve"> aunque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registro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origine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correspondiente, en cuyo caso tal cancelación solo podrá hacerse previo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respectivo.</w:t>
      </w:r>
    </w:p>
    <w:p w14:paraId="7DDBF25C" w14:textId="77777777" w:rsidR="009D1138" w:rsidRPr="001A3905" w:rsidRDefault="009D1138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68E471DB" w14:textId="77777777" w:rsidR="009D1138" w:rsidRDefault="00030553" w:rsidP="009D1138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Sistemas Organizados de Pagos</w:t>
      </w:r>
    </w:p>
    <w:p w14:paraId="7E804DCF" w14:textId="2D928426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6. </w:t>
      </w:r>
      <w:r w:rsidRPr="001A3905">
        <w:rPr>
          <w:rFonts w:ascii="Arial" w:hAnsi="Arial" w:cs="Arial"/>
          <w:kern w:val="10"/>
          <w:sz w:val="24"/>
          <w:szCs w:val="24"/>
        </w:rPr>
        <w:t>El Banco Central de Venezuela y los regentes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los sistemas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organizados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incluido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Sistema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abstendrán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procesar transferencias o cargos en cuentas en los que no se ordene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simultánea y preferentemente la liquidación y pago del impuesto 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recaiga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sobre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operaciones.</w:t>
      </w:r>
    </w:p>
    <w:p w14:paraId="15F87A8C" w14:textId="77777777" w:rsidR="009D1138" w:rsidRDefault="009D1138" w:rsidP="00933631">
      <w:pPr>
        <w:spacing w:before="120"/>
        <w:ind w:right="2"/>
        <w:jc w:val="both"/>
        <w:rPr>
          <w:rFonts w:ascii="Arial" w:hAnsi="Arial" w:cs="Arial"/>
          <w:b/>
          <w:i/>
          <w:kern w:val="10"/>
          <w:sz w:val="24"/>
          <w:szCs w:val="24"/>
        </w:rPr>
      </w:pPr>
    </w:p>
    <w:p w14:paraId="6449360C" w14:textId="77777777" w:rsidR="009D1138" w:rsidRDefault="00030553" w:rsidP="009D1138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Agentes de Retención o Percepción</w:t>
      </w:r>
    </w:p>
    <w:p w14:paraId="1B3608E5" w14:textId="2DC11B83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7.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designar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agentes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retención o percepción del impuesto establecido en esta Ley a quienes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intervengan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actos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operaciones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estén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condiciones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efectuar por sí o por interpuesta persona, la retención o percepción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aquí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previsto.</w:t>
      </w:r>
    </w:p>
    <w:p w14:paraId="02FFF510" w14:textId="77777777" w:rsidR="00D44030" w:rsidRPr="001A3905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CAPÍTULO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III</w:t>
      </w:r>
    </w:p>
    <w:p w14:paraId="30691F4F" w14:textId="77777777" w:rsidR="00D44030" w:rsidRPr="001A3905" w:rsidRDefault="00030553" w:rsidP="00933631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EXENCIONES</w:t>
      </w:r>
    </w:p>
    <w:p w14:paraId="4BE2F1E4" w14:textId="77777777" w:rsidR="00D44030" w:rsidRPr="001A3905" w:rsidRDefault="00030553" w:rsidP="00933631">
      <w:pPr>
        <w:pStyle w:val="Ttulo4"/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Exenciones</w:t>
      </w:r>
    </w:p>
    <w:p w14:paraId="682E04ED" w14:textId="67AB52CF" w:rsidR="00D44030" w:rsidRPr="001A3905" w:rsidRDefault="00030553" w:rsidP="009D1138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8.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exentos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impuesto:</w:t>
      </w:r>
    </w:p>
    <w:p w14:paraId="487FE545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político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territoriales.</w:t>
      </w:r>
    </w:p>
    <w:p w14:paraId="6D8B547E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Central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15354A1B" w14:textId="4FB6072A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lastRenderedPageBreak/>
        <w:t>Las entidades de carácter público con o sin fines empresariales,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calificadas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pasivos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especiales.</w:t>
      </w:r>
    </w:p>
    <w:p w14:paraId="3868A9AD" w14:textId="153DC7A1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 xml:space="preserve">Las </w:t>
      </w:r>
      <w:r w:rsidRPr="001A3905">
        <w:rPr>
          <w:rFonts w:ascii="Arial" w:hAnsi="Arial" w:cs="Arial"/>
          <w:kern w:val="10"/>
          <w:sz w:val="24"/>
          <w:szCs w:val="24"/>
        </w:rPr>
        <w:t>operaciones cambiarias realizadas por un operador cambiario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debidamente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autorizado.</w:t>
      </w:r>
    </w:p>
    <w:p w14:paraId="224230B6" w14:textId="7E201824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El primer endoso que se realice en cheques, valores, depósitos 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custodia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cualquier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instrumento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negociable.</w:t>
      </w:r>
    </w:p>
    <w:p w14:paraId="605367F1" w14:textId="304B272C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débitos que generen la compra, venta y transferencia de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custodia en títulos valores emitidos o avalados por la R</w:t>
      </w:r>
      <w:r w:rsidRPr="001A3905">
        <w:rPr>
          <w:rFonts w:ascii="Arial" w:hAnsi="Arial" w:cs="Arial"/>
          <w:kern w:val="10"/>
          <w:sz w:val="24"/>
          <w:szCs w:val="24"/>
        </w:rPr>
        <w:t>epública o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 Central de Venezuela, así como los débitos o retiros relacionados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 la liquidación del capital o intereses de los mismos y los títulos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negociados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bolsa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agrícola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bolsa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valores.</w:t>
      </w:r>
    </w:p>
    <w:p w14:paraId="7AC780BC" w14:textId="4E2A93D5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Las operaciones de transferencias de fondos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que realice el o la titular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entre sus cuentas, en bancos o instituciones financieras constituidas 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domiciliadas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exención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titular.</w:t>
      </w:r>
    </w:p>
    <w:p w14:paraId="52A2939F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corrientes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misiones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diplomáticas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consulares y de sus funcionarios extranjeros o funcionarias extranjeras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acreditados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acreditadas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4206272F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débitos en cuenta por transferencias o emisión de cheques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personales o de gerencia para el pago de tributos cuyo beneficiario sea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Tesoro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Nacional.</w:t>
      </w:r>
    </w:p>
    <w:p w14:paraId="011A098C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débitos o retiros realizados en las cuentas de la Cámara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 xml:space="preserve">Compensación Bancaria, las cuentas de </w:t>
      </w:r>
      <w:r w:rsidRPr="001A3905">
        <w:rPr>
          <w:rFonts w:ascii="Arial" w:hAnsi="Arial" w:cs="Arial"/>
          <w:kern w:val="10"/>
          <w:sz w:val="24"/>
          <w:szCs w:val="24"/>
        </w:rPr>
        <w:t>compensación de tarjetas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crédito, las cuentas de corresponsalía nacional y las cuentas operativas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compensadoras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banca.</w:t>
      </w:r>
    </w:p>
    <w:p w14:paraId="5EED00AC" w14:textId="77777777" w:rsidR="00D44030" w:rsidRPr="001A3905" w:rsidRDefault="00030553" w:rsidP="00933631">
      <w:pPr>
        <w:pStyle w:val="Prrafodelista"/>
        <w:numPr>
          <w:ilvl w:val="1"/>
          <w:numId w:val="3"/>
        </w:numPr>
        <w:tabs>
          <w:tab w:val="left" w:pos="861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compra-venta de efectivo en la cuenta única mantenida en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Banco Central de Venezuela, por los Bancos y otras Instituciones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Financieras.</w:t>
      </w:r>
    </w:p>
    <w:p w14:paraId="453FA4E5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35A5C566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exención prevista en los numerales 5 al 11 de este artículo aplica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exclusivamente para las transacciones realizadas en moneda de curso legal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criptomonedas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criptoactivos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emitidos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425AE2F0" w14:textId="77777777" w:rsidR="004D5C11" w:rsidRDefault="004D5C11" w:rsidP="00933631">
      <w:pPr>
        <w:spacing w:before="120"/>
        <w:ind w:right="2"/>
        <w:jc w:val="both"/>
        <w:rPr>
          <w:rFonts w:ascii="Arial" w:hAnsi="Arial" w:cs="Arial"/>
          <w:b/>
          <w:i/>
          <w:kern w:val="10"/>
          <w:sz w:val="24"/>
          <w:szCs w:val="24"/>
        </w:rPr>
      </w:pPr>
    </w:p>
    <w:p w14:paraId="0875DAB4" w14:textId="2C53F14D" w:rsidR="004D5C11" w:rsidRDefault="00030553" w:rsidP="004D5C1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Pagos deriv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ados de la relación 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>de trabajo</w:t>
      </w:r>
    </w:p>
    <w:p w14:paraId="3392BC96" w14:textId="08C788B7" w:rsidR="00D44030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9. </w:t>
      </w:r>
      <w:r w:rsidRPr="001A3905">
        <w:rPr>
          <w:rFonts w:ascii="Arial" w:hAnsi="Arial" w:cs="Arial"/>
          <w:kern w:val="10"/>
          <w:sz w:val="24"/>
          <w:szCs w:val="24"/>
        </w:rPr>
        <w:t>En los casos de cuentas bancarias abiertas para el pago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nómina de salarios, jubilaciones, pensiones y demás remuneraciones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similares derivadas de una relación de trabajo actual o anterior, 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deudoras,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pagadores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pagadoras,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podrán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trasladar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trabajadores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trabajadoras,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jubilados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jubiladas,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pensionados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pensionadas,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soporten 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dichas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contraprestaciones.</w:t>
      </w:r>
    </w:p>
    <w:p w14:paraId="69D49B96" w14:textId="77777777" w:rsidR="004D5C11" w:rsidRPr="001A3905" w:rsidRDefault="004D5C11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7E3D17D0" w14:textId="77777777" w:rsidR="004D5C11" w:rsidRDefault="00030553" w:rsidP="004D5C1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Temporalidad</w:t>
      </w:r>
    </w:p>
    <w:p w14:paraId="1F599ADD" w14:textId="1C61B1CB" w:rsidR="00D44030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10.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entienden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ocurridos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hechos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imponibles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nacida,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consecuencia, la obligación tributaria el momento en que se efectúe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según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caso.</w:t>
      </w:r>
    </w:p>
    <w:p w14:paraId="6AEE8C97" w14:textId="77777777" w:rsidR="004D5C11" w:rsidRPr="001A3905" w:rsidRDefault="004D5C11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2129F80D" w14:textId="77777777" w:rsidR="004D5C11" w:rsidRDefault="00030553" w:rsidP="004D5C11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Territorialidad</w:t>
      </w:r>
    </w:p>
    <w:p w14:paraId="4B96D7FE" w14:textId="43474B8B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11.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cancelación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deudas,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gravado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cuando:</w:t>
      </w:r>
    </w:p>
    <w:p w14:paraId="297BE676" w14:textId="77777777" w:rsidR="00D44030" w:rsidRPr="001A3905" w:rsidRDefault="00030553" w:rsidP="00933631">
      <w:pPr>
        <w:pStyle w:val="Prrafodelista"/>
        <w:numPr>
          <w:ilvl w:val="0"/>
          <w:numId w:val="2"/>
        </w:numPr>
        <w:tabs>
          <w:tab w:val="left" w:pos="707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Alguna de las causas que lo origina ocurre o se sitúa dentro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territorio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lastRenderedPageBreak/>
        <w:t>incluso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casos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prestaciones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servicios generados, contratados, perfeccionados o pagados en 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exterior,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aunque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prestador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prestadora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servicio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encuentre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1144FD3C" w14:textId="77777777" w:rsidR="00D44030" w:rsidRPr="001A3905" w:rsidRDefault="00030553" w:rsidP="00933631">
      <w:pPr>
        <w:pStyle w:val="Prrafodelista"/>
        <w:numPr>
          <w:ilvl w:val="0"/>
          <w:numId w:val="2"/>
        </w:numPr>
        <w:tabs>
          <w:tab w:val="left" w:pos="707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Se trate de pagos por la realización de actividades en el exterior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vinculadas con la importación de bienes o servicios y los que 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obtengan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asistencia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técnica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servicios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tecnológicos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utilizados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territorio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nacional.</w:t>
      </w:r>
    </w:p>
    <w:p w14:paraId="1EB39B66" w14:textId="77777777" w:rsidR="00D44030" w:rsidRPr="001A3905" w:rsidRDefault="00030553" w:rsidP="00933631">
      <w:pPr>
        <w:pStyle w:val="Prrafodelista"/>
        <w:numPr>
          <w:ilvl w:val="0"/>
          <w:numId w:val="2"/>
        </w:numPr>
        <w:tabs>
          <w:tab w:val="left" w:pos="707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 actividad que genera el se</w:t>
      </w:r>
      <w:r w:rsidRPr="001A3905">
        <w:rPr>
          <w:rFonts w:ascii="Arial" w:hAnsi="Arial" w:cs="Arial"/>
          <w:kern w:val="10"/>
          <w:sz w:val="24"/>
          <w:szCs w:val="24"/>
        </w:rPr>
        <w:t>rvicio sea desarrollada en el territorio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independientemente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lugar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donde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éste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utilice.</w:t>
      </w:r>
    </w:p>
    <w:p w14:paraId="6B5D5F29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530E21E5" w14:textId="77777777" w:rsidR="004D0419" w:rsidRDefault="00030553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CAPÍTULO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IV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</w:p>
    <w:p w14:paraId="78189031" w14:textId="576EDC81" w:rsidR="00D44030" w:rsidRPr="001A3905" w:rsidRDefault="00030553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ALÍCUOTA</w:t>
      </w:r>
    </w:p>
    <w:p w14:paraId="40521DB5" w14:textId="77777777" w:rsidR="004D0419" w:rsidRDefault="004D0419" w:rsidP="00933631">
      <w:pPr>
        <w:spacing w:before="120"/>
        <w:ind w:right="2"/>
        <w:jc w:val="both"/>
        <w:rPr>
          <w:rFonts w:ascii="Arial" w:hAnsi="Arial" w:cs="Arial"/>
          <w:b/>
          <w:i/>
          <w:kern w:val="10"/>
          <w:sz w:val="24"/>
          <w:szCs w:val="24"/>
        </w:rPr>
      </w:pPr>
    </w:p>
    <w:p w14:paraId="28674B14" w14:textId="77777777" w:rsidR="004D0419" w:rsidRDefault="00030553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Base Imponible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 </w:t>
      </w:r>
    </w:p>
    <w:p w14:paraId="6160A202" w14:textId="294A7495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12. </w:t>
      </w:r>
      <w:r w:rsidRPr="001A3905">
        <w:rPr>
          <w:rFonts w:ascii="Arial" w:hAnsi="Arial" w:cs="Arial"/>
          <w:kern w:val="10"/>
          <w:sz w:val="24"/>
          <w:szCs w:val="24"/>
        </w:rPr>
        <w:t>La base imponible estará constituida por el importe total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operación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gravada.</w:t>
      </w:r>
    </w:p>
    <w:p w14:paraId="53340A75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0E81FB48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En los casos de cheques de gerencia, la base imponible estará constituida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importe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cheque.</w:t>
      </w:r>
    </w:p>
    <w:p w14:paraId="3531F2A7" w14:textId="77777777" w:rsidR="004D0419" w:rsidRDefault="004D0419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</w:p>
    <w:p w14:paraId="2B91A54A" w14:textId="1DB7F4AA" w:rsidR="00D44030" w:rsidRPr="001A3905" w:rsidRDefault="00030553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>Impositiva</w:t>
      </w:r>
    </w:p>
    <w:p w14:paraId="0D7EE133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13.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gener</w:t>
      </w:r>
      <w:r w:rsidRPr="001A3905">
        <w:rPr>
          <w:rFonts w:ascii="Arial" w:hAnsi="Arial" w:cs="Arial"/>
          <w:kern w:val="10"/>
          <w:sz w:val="24"/>
          <w:szCs w:val="24"/>
        </w:rPr>
        <w:t>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aplicable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imponible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correspondiente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Ejecutivo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comprendida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límite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mínimo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cero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(0%)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máximo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 dos por ciento (2%), salvo para las transacciones realizadas por 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numerales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5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579228C8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1D3376E5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 señalados en el numeral 5 del artículo 4 de esta Ley 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 establecida por el Ejecutivo Nacional, y estará comprendida entre 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límite mínimo de dos por ciento (2%) y un máximo de ocho por 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(8%).</w:t>
      </w:r>
    </w:p>
    <w:p w14:paraId="5A64FACB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6EF62226" w14:textId="77777777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numeral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Ejecutivo Nacional, y estará comprendida entre un límite mínimo de 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(2%)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un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máximo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veinte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ciento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(20%).</w:t>
      </w:r>
    </w:p>
    <w:p w14:paraId="7388F4ED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62C3212F" w14:textId="77777777" w:rsidR="004D0419" w:rsidRDefault="00030553" w:rsidP="004D0419">
      <w:pPr>
        <w:pStyle w:val="Textoindependiente"/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Obligación</w:t>
      </w:r>
      <w:r w:rsidR="004D0419">
        <w:rPr>
          <w:rFonts w:ascii="Arial" w:hAnsi="Arial" w:cs="Arial"/>
          <w:b/>
          <w:i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>Tributaria</w:t>
      </w:r>
    </w:p>
    <w:p w14:paraId="6829224E" w14:textId="7B2F5B01" w:rsidR="00D44030" w:rsidRPr="004D0419" w:rsidRDefault="00030553" w:rsidP="004D0419">
      <w:pPr>
        <w:pStyle w:val="Textoindependiente"/>
        <w:spacing w:before="120"/>
        <w:ind w:right="2"/>
        <w:jc w:val="both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14.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obligación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resulte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impositiva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anterior,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imponible.</w:t>
      </w:r>
    </w:p>
    <w:p w14:paraId="21070656" w14:textId="77777777" w:rsidR="004D0419" w:rsidRDefault="004D0419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33173AB4" w14:textId="77777777" w:rsidR="004D0419" w:rsidRDefault="004D0419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Período de Imposición </w:t>
      </w:r>
    </w:p>
    <w:p w14:paraId="6792D657" w14:textId="4CC680E4" w:rsidR="004D0419" w:rsidRDefault="004D0419" w:rsidP="004D0419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15. </w:t>
      </w:r>
      <w:r w:rsidRPr="001A3905">
        <w:rPr>
          <w:rFonts w:ascii="Arial" w:hAnsi="Arial" w:cs="Arial"/>
          <w:kern w:val="10"/>
          <w:sz w:val="24"/>
          <w:szCs w:val="24"/>
        </w:rPr>
        <w:t>El impuesto establecido en esta Ley será determinado por períodos de imposición de un (1) día.</w:t>
      </w:r>
    </w:p>
    <w:p w14:paraId="764B9034" w14:textId="4BE811E0" w:rsidR="004D0419" w:rsidRDefault="004D0419" w:rsidP="004D0419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2A47447C" w14:textId="0B1B090A" w:rsidR="004D0419" w:rsidRDefault="004D0419" w:rsidP="004D0419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proofErr w:type="gramStart"/>
      <w:r w:rsidRPr="001A3905">
        <w:rPr>
          <w:rFonts w:ascii="Arial" w:hAnsi="Arial" w:cs="Arial"/>
          <w:kern w:val="10"/>
          <w:sz w:val="24"/>
          <w:szCs w:val="24"/>
        </w:rPr>
        <w:lastRenderedPageBreak/>
        <w:t>CAPÍTULO  V</w:t>
      </w:r>
      <w:proofErr w:type="gramEnd"/>
    </w:p>
    <w:p w14:paraId="7E25AA2A" w14:textId="5053649A" w:rsidR="004D0419" w:rsidRPr="001A3905" w:rsidRDefault="004D0419" w:rsidP="004D0419">
      <w:pPr>
        <w:pStyle w:val="Ttulo5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DECLARACIÓN, PAGO Y LIQUIDACIÓN DEL</w:t>
      </w:r>
    </w:p>
    <w:p w14:paraId="05FDFA22" w14:textId="77777777" w:rsidR="004D0419" w:rsidRPr="001A3905" w:rsidRDefault="004D0419" w:rsidP="004D0419">
      <w:pPr>
        <w:spacing w:before="120"/>
        <w:ind w:right="2"/>
        <w:jc w:val="center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IMPUESTO</w:t>
      </w:r>
    </w:p>
    <w:p w14:paraId="7B719AFA" w14:textId="77777777" w:rsidR="004D0419" w:rsidRPr="001A3905" w:rsidRDefault="004D0419" w:rsidP="004D0419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7DB0DA3E" w14:textId="04B186B2" w:rsidR="004D0419" w:rsidRDefault="004D0419" w:rsidP="004D0419">
      <w:pPr>
        <w:pStyle w:val="Textoindependiente"/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Declaración y el Pago</w:t>
      </w:r>
    </w:p>
    <w:p w14:paraId="6D1B03ED" w14:textId="4C5BED71" w:rsidR="004D0419" w:rsidRPr="001A3905" w:rsidRDefault="004D0419" w:rsidP="004D0419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16. </w:t>
      </w:r>
      <w:r w:rsidRPr="001A3905">
        <w:rPr>
          <w:rFonts w:ascii="Arial" w:hAnsi="Arial" w:cs="Arial"/>
          <w:kern w:val="10"/>
          <w:sz w:val="24"/>
          <w:szCs w:val="24"/>
        </w:rPr>
        <w:t>Los contribuyentes y los responsables, según el caso, deben declarar y pagar el impuesto previsto en esta Ley, conforme a las siguientes reglas:</w:t>
      </w:r>
    </w:p>
    <w:p w14:paraId="062FFC92" w14:textId="2DD48883" w:rsidR="004D0419" w:rsidRPr="004D0419" w:rsidRDefault="004D0419" w:rsidP="004D0419">
      <w:pPr>
        <w:pStyle w:val="Prrafodelista"/>
        <w:numPr>
          <w:ilvl w:val="0"/>
          <w:numId w:val="1"/>
        </w:numPr>
        <w:tabs>
          <w:tab w:val="left" w:pos="613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Cada día, el impuesto que recae sobre los débitos efectuados en cuentas de bancos u otras instituciones financieras.</w:t>
      </w:r>
    </w:p>
    <w:p w14:paraId="65589A03" w14:textId="42CC800C" w:rsidR="004D0419" w:rsidRPr="004D0419" w:rsidRDefault="004D0419" w:rsidP="004D0419">
      <w:pPr>
        <w:pStyle w:val="Prrafodelista"/>
        <w:numPr>
          <w:ilvl w:val="0"/>
          <w:numId w:val="1"/>
        </w:numPr>
        <w:tabs>
          <w:tab w:val="left" w:pos="638"/>
        </w:tabs>
        <w:spacing w:before="120"/>
        <w:ind w:left="0" w:right="2" w:firstLine="0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Conforme al Calendario de Pagos de las Retenciones del Impuesto al Valor Agregado para Contribuyentes Especiales, el impuesto que recae sobre la cancelación de deudas mediante el pago u otros mecanismos de extinción, sin mediación de bancos u otras instituciones financieras.</w:t>
      </w:r>
    </w:p>
    <w:p w14:paraId="13194AEC" w14:textId="77777777" w:rsidR="004D0419" w:rsidRPr="001A3905" w:rsidRDefault="004D0419" w:rsidP="004D0419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Parágrafo único: </w:t>
      </w:r>
      <w:r w:rsidRPr="001A3905">
        <w:rPr>
          <w:rFonts w:ascii="Arial" w:hAnsi="Arial" w:cs="Arial"/>
          <w:kern w:val="10"/>
          <w:sz w:val="24"/>
          <w:szCs w:val="24"/>
        </w:rPr>
        <w:t>La declaración y pago del impuesto previsto en esta Ley debe efectuarse, en el lugar, forma y condiciones que establezca la Administración Tributaria Nacional mediante Providencia Administrativa de carácter general.</w:t>
      </w:r>
    </w:p>
    <w:p w14:paraId="2102A94D" w14:textId="77777777" w:rsidR="004D0419" w:rsidRPr="001A3905" w:rsidRDefault="004D0419" w:rsidP="004D0419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2BAF2F52" w14:textId="77777777" w:rsidR="004D0419" w:rsidRDefault="004D0419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Transferencia de Fondos </w:t>
      </w:r>
    </w:p>
    <w:p w14:paraId="0D15EE12" w14:textId="5DF77B5A" w:rsidR="00D44030" w:rsidRPr="001A3905" w:rsidRDefault="004D0419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17. </w:t>
      </w:r>
      <w:r w:rsidRPr="001A3905">
        <w:rPr>
          <w:rFonts w:ascii="Arial" w:hAnsi="Arial" w:cs="Arial"/>
          <w:kern w:val="10"/>
          <w:sz w:val="24"/>
          <w:szCs w:val="24"/>
        </w:rPr>
        <w:t>Los impuestos pagados o enterados conforme a esta Ley, en calidad de contribuyente, de agente de retención o de percepción, serán</w:t>
      </w:r>
      <w:r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transferidos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el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mi</w:t>
      </w:r>
      <w:r w:rsidR="00030553" w:rsidRPr="001A3905">
        <w:rPr>
          <w:rFonts w:ascii="Arial" w:hAnsi="Arial" w:cs="Arial"/>
          <w:kern w:val="10"/>
          <w:sz w:val="24"/>
          <w:szCs w:val="24"/>
        </w:rPr>
        <w:t>smo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día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de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su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recepción,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por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las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entidades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receptoras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de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Fondos Nacionales, a la cuenta que a tal efecto señale el Ministerio con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competencia en materia de finanzas, a través de la Oficina Nacional del</w:t>
      </w:r>
      <w:r w:rsidR="00030553"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="00030553" w:rsidRPr="001A3905">
        <w:rPr>
          <w:rFonts w:ascii="Arial" w:hAnsi="Arial" w:cs="Arial"/>
          <w:kern w:val="10"/>
          <w:sz w:val="24"/>
          <w:szCs w:val="24"/>
        </w:rPr>
        <w:t>Tesoro.</w:t>
      </w:r>
    </w:p>
    <w:p w14:paraId="1D5AD2F3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dictará,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Providencia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Administrat</w:t>
      </w:r>
      <w:r w:rsidRPr="001A3905">
        <w:rPr>
          <w:rFonts w:ascii="Arial" w:hAnsi="Arial" w:cs="Arial"/>
          <w:kern w:val="10"/>
          <w:sz w:val="24"/>
          <w:szCs w:val="24"/>
        </w:rPr>
        <w:t>iva de carácter general, las normas necesarias para el control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recaudación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impuesto.</w:t>
      </w:r>
    </w:p>
    <w:p w14:paraId="405B86C6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1DA9B20C" w14:textId="77777777" w:rsidR="004D0419" w:rsidRDefault="00030553" w:rsidP="004D0419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De la no deducibilidad del impuesto</w:t>
      </w:r>
    </w:p>
    <w:p w14:paraId="124E333F" w14:textId="23917106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18. </w:t>
      </w:r>
      <w:r w:rsidRPr="001A3905">
        <w:rPr>
          <w:rFonts w:ascii="Arial" w:hAnsi="Arial" w:cs="Arial"/>
          <w:kern w:val="10"/>
          <w:sz w:val="24"/>
          <w:szCs w:val="24"/>
        </w:rPr>
        <w:t>El impuesto previsto en esta Ley no será deducible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sobre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Renta.</w:t>
      </w:r>
    </w:p>
    <w:p w14:paraId="79394E28" w14:textId="77777777" w:rsidR="004D0419" w:rsidRDefault="004D0419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</w:p>
    <w:p w14:paraId="7CD286A3" w14:textId="77777777" w:rsidR="00EF0642" w:rsidRDefault="00030553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CAPÍTULO VI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</w:p>
    <w:p w14:paraId="5D10BF24" w14:textId="387BB4C4" w:rsidR="00D44030" w:rsidRPr="001A3905" w:rsidRDefault="00030553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DEBERES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FORMALES</w:t>
      </w:r>
    </w:p>
    <w:p w14:paraId="6681BE50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6B1A4C46" w14:textId="77777777" w:rsidR="00EF0642" w:rsidRDefault="00030553" w:rsidP="00EF0642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Obligación de Suministro de Información</w:t>
      </w:r>
      <w:r w:rsidRPr="001A3905">
        <w:rPr>
          <w:rFonts w:ascii="Arial" w:hAnsi="Arial" w:cs="Arial"/>
          <w:b/>
          <w:i/>
          <w:kern w:val="10"/>
          <w:sz w:val="24"/>
          <w:szCs w:val="24"/>
        </w:rPr>
        <w:t xml:space="preserve"> </w:t>
      </w:r>
    </w:p>
    <w:p w14:paraId="1A6EF508" w14:textId="33840756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19. </w:t>
      </w:r>
      <w:r w:rsidRPr="001A3905">
        <w:rPr>
          <w:rFonts w:ascii="Arial" w:hAnsi="Arial" w:cs="Arial"/>
          <w:kern w:val="10"/>
          <w:sz w:val="24"/>
          <w:szCs w:val="24"/>
        </w:rPr>
        <w:t>Los sujetos pasivos del impuesto establecido en esta Ley,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deben mantener y entregar a la Administración Tributaria Nacional, cuando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ésta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requiera,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reportes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detallados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contables,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según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corresponda,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refleje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pagado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 retenido, si fuere el caso; ello sin perjuicio de los registros y demás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procesos bancarios establecidos para el adecuado control del 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24C0D064" w14:textId="77777777" w:rsidR="00EF0642" w:rsidRDefault="00EF0642" w:rsidP="00933631">
      <w:pPr>
        <w:spacing w:before="120"/>
        <w:ind w:right="2"/>
        <w:jc w:val="both"/>
        <w:rPr>
          <w:rFonts w:ascii="Arial" w:hAnsi="Arial" w:cs="Arial"/>
          <w:b/>
          <w:i/>
          <w:kern w:val="10"/>
          <w:sz w:val="24"/>
          <w:szCs w:val="24"/>
        </w:rPr>
      </w:pPr>
    </w:p>
    <w:p w14:paraId="7023C980" w14:textId="77777777" w:rsidR="00EF0642" w:rsidRDefault="00030553" w:rsidP="00EF0642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Forma de las Declaraciones</w:t>
      </w:r>
    </w:p>
    <w:p w14:paraId="2DBAF1F3" w14:textId="78A86B28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20.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declaraciones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requieran,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Providencias Administrativas que al efecto dicte la Administración 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deberán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elaboradas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formularios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bajo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especificaciones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técnicas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publicadas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ésta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Portal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Fiscal.</w:t>
      </w:r>
    </w:p>
    <w:p w14:paraId="11DC234A" w14:textId="77777777" w:rsidR="00EF0642" w:rsidRDefault="00030553" w:rsidP="00EF0642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lastRenderedPageBreak/>
        <w:t>Registro de Débito</w:t>
      </w:r>
    </w:p>
    <w:p w14:paraId="77E0BA09" w14:textId="29B4A2F4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21. </w:t>
      </w:r>
      <w:r w:rsidRPr="001A3905">
        <w:rPr>
          <w:rFonts w:ascii="Arial" w:hAnsi="Arial" w:cs="Arial"/>
          <w:kern w:val="10"/>
          <w:sz w:val="24"/>
          <w:szCs w:val="24"/>
        </w:rPr>
        <w:t>El impuesto causado en virtud de la presente Ley deberá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registrarse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como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débito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cuenta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bancaria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respectiva.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casos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que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no se trate de débitos en cuenta bancaria será registrado en cuentas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orden.</w:t>
      </w:r>
    </w:p>
    <w:p w14:paraId="5E667D41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454CE02D" w14:textId="77777777" w:rsidR="00EF0642" w:rsidRDefault="00030553" w:rsidP="00EF0642">
      <w:pPr>
        <w:spacing w:before="120"/>
        <w:ind w:right="2"/>
        <w:jc w:val="right"/>
        <w:rPr>
          <w:rFonts w:ascii="Arial" w:hAnsi="Arial" w:cs="Arial"/>
          <w:b/>
          <w:i/>
          <w:kern w:val="10"/>
          <w:sz w:val="24"/>
          <w:szCs w:val="24"/>
        </w:rPr>
      </w:pPr>
      <w:r w:rsidRPr="001A3905">
        <w:rPr>
          <w:rFonts w:ascii="Arial" w:hAnsi="Arial" w:cs="Arial"/>
          <w:b/>
          <w:i/>
          <w:kern w:val="10"/>
          <w:sz w:val="24"/>
          <w:szCs w:val="24"/>
        </w:rPr>
        <w:t>Sanciones</w:t>
      </w:r>
    </w:p>
    <w:p w14:paraId="1CE0027B" w14:textId="2540E2E3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tículo 22. </w:t>
      </w:r>
      <w:r w:rsidRPr="001A3905">
        <w:rPr>
          <w:rFonts w:ascii="Arial" w:hAnsi="Arial" w:cs="Arial"/>
          <w:kern w:val="10"/>
          <w:sz w:val="24"/>
          <w:szCs w:val="24"/>
        </w:rPr>
        <w:t>El incumplimiento de las obligaciones establecidas en 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Ley, será sancionado de conformidad con lo dispuesto en el Decreto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Constituyente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Código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Orgánico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Tributario.</w:t>
      </w:r>
    </w:p>
    <w:p w14:paraId="58CBE753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1762F4D" w14:textId="77777777" w:rsidR="00D44030" w:rsidRPr="001A3905" w:rsidRDefault="00030553" w:rsidP="00933631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CAPÍTULO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VII</w:t>
      </w:r>
    </w:p>
    <w:p w14:paraId="5CB1F01B" w14:textId="5F84E831" w:rsidR="00D44030" w:rsidRPr="001A3905" w:rsidRDefault="00030553" w:rsidP="00A53F14">
      <w:pPr>
        <w:pStyle w:val="Ttulo3"/>
        <w:spacing w:before="120"/>
        <w:ind w:left="0"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DISPOSICIONES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TRANSITORIAS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FINALES</w:t>
      </w:r>
    </w:p>
    <w:p w14:paraId="3155295B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b/>
          <w:kern w:val="10"/>
          <w:sz w:val="24"/>
          <w:szCs w:val="24"/>
        </w:rPr>
      </w:pPr>
    </w:p>
    <w:p w14:paraId="2B2050F7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23.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Ejecutivo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Nacional,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dentro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política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fiscal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aplicables de conformidad con la situación coyuntural, sectorial y regional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economía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país,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exonerar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total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parcialmente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previsto en esta Ley a las transacciones realizadas por determinados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sujetos,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segmentos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sectores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económicos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país.</w:t>
      </w:r>
    </w:p>
    <w:p w14:paraId="11CEE375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Los decretos de exoneración que se dicten en ejecución de esta norma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deberán señalar las condiciones, plazos, requisitos y controles req</w:t>
      </w:r>
      <w:r w:rsidRPr="001A3905">
        <w:rPr>
          <w:rFonts w:ascii="Arial" w:hAnsi="Arial" w:cs="Arial"/>
          <w:kern w:val="10"/>
          <w:sz w:val="24"/>
          <w:szCs w:val="24"/>
        </w:rPr>
        <w:t>ueridos, 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fin de lograr las finalidades de política fiscal perseguidas en el orden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coyuntural,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sectorial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regional.</w:t>
      </w:r>
    </w:p>
    <w:p w14:paraId="48F8BD2B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todo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caso,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exoneración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concedida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contribuyentes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señalados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numerales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5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6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igualmente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otorgada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moneda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curso legal en el país o en criptomonedas o criptoactivos emitidos por 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097E0745" w14:textId="77777777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42E9A414" w14:textId="77777777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24. </w:t>
      </w:r>
      <w:r w:rsidRPr="001A3905">
        <w:rPr>
          <w:rFonts w:ascii="Arial" w:hAnsi="Arial" w:cs="Arial"/>
          <w:kern w:val="10"/>
          <w:sz w:val="24"/>
          <w:szCs w:val="24"/>
        </w:rPr>
        <w:t>Hasta tanto el Ejecutivo Nacional establ</w:t>
      </w:r>
      <w:r w:rsidRPr="001A3905">
        <w:rPr>
          <w:rFonts w:ascii="Arial" w:hAnsi="Arial" w:cs="Arial"/>
          <w:kern w:val="10"/>
          <w:sz w:val="24"/>
          <w:szCs w:val="24"/>
        </w:rPr>
        <w:t>ezca una alícuota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distinta, se fija la alícuota en dos por ciento (2%) para las 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realizadas por los contribuyentes señalados en los numerales 1 al 4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 4 de esta Ley y en tres por ciento (3%) para las transacciones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efectuadas por 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contribuyentes señalados en los numerales 5 y 6 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4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Ley.</w:t>
      </w:r>
    </w:p>
    <w:p w14:paraId="48872FA9" w14:textId="77777777" w:rsidR="00A53F14" w:rsidRDefault="00A53F14" w:rsidP="00933631">
      <w:pPr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66F786A6" w14:textId="136298A8" w:rsidR="00D44030" w:rsidRPr="001A3905" w:rsidRDefault="00030553" w:rsidP="00933631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>Artículo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25.</w:t>
      </w:r>
      <w:r w:rsidRPr="001A3905"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entrará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vigencia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treinta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(30)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días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continuos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siguientes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su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publicación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Gaceta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Oficial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República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Venezuela.</w:t>
      </w:r>
    </w:p>
    <w:p w14:paraId="72FA9528" w14:textId="77777777" w:rsidR="00A53F14" w:rsidRDefault="00A53F14" w:rsidP="00933631">
      <w:pPr>
        <w:pStyle w:val="Textoindependiente"/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</w:p>
    <w:p w14:paraId="26662E8A" w14:textId="053C3CF1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b/>
          <w:kern w:val="10"/>
          <w:sz w:val="24"/>
          <w:szCs w:val="24"/>
        </w:rPr>
        <w:t xml:space="preserve">Artículo 26. </w:t>
      </w:r>
      <w:r w:rsidRPr="001A3905">
        <w:rPr>
          <w:rFonts w:ascii="Arial" w:hAnsi="Arial" w:cs="Arial"/>
          <w:kern w:val="10"/>
          <w:sz w:val="24"/>
          <w:szCs w:val="24"/>
        </w:rPr>
        <w:t>El Servicio Nacional de Administración Aduanera y Tributaria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(SENIAT),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podrá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realizar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determinaciones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oficio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impuesto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establecido en esta Ley, sobre base cierta o sobre base presuntiva, 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conformidad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dispuesto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Decreto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Constituyente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mediante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cual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dicta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Código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Orgánico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Tributario.</w:t>
      </w:r>
    </w:p>
    <w:p w14:paraId="32DF93ED" w14:textId="77777777" w:rsidR="00A53F14" w:rsidRDefault="00A53F14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</w:p>
    <w:p w14:paraId="391430C9" w14:textId="123914CC" w:rsidR="00D44030" w:rsidRPr="001A3905" w:rsidRDefault="00030553" w:rsidP="00933631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Dada,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firmada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y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sellada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el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Palacio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Federal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Legislativo,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sede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Asamblea Nacional, en Caracas, a los tres días del mes de febrero del dos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mil veintidós. Años 211° de la Independencia, 162° de la Federación y 23°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de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la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Revolución</w:t>
      </w:r>
      <w:r w:rsidRPr="001A3905">
        <w:rPr>
          <w:rFonts w:ascii="Arial" w:hAnsi="Arial" w:cs="Arial"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kern w:val="10"/>
          <w:sz w:val="24"/>
          <w:szCs w:val="24"/>
        </w:rPr>
        <w:t>Bolivariana.</w:t>
      </w:r>
    </w:p>
    <w:p w14:paraId="68A4A23D" w14:textId="77777777" w:rsidR="00650DA6" w:rsidRDefault="00650DA6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4C27A0CE" w14:textId="77777777" w:rsidR="00650DA6" w:rsidRDefault="00650DA6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63D473AC" w14:textId="2AF32EC7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b/>
          <w:bCs/>
          <w:kern w:val="10"/>
          <w:sz w:val="24"/>
          <w:szCs w:val="24"/>
        </w:rPr>
      </w:pPr>
      <w:r>
        <w:rPr>
          <w:rFonts w:ascii="Arial" w:hAnsi="Arial" w:cs="Arial"/>
          <w:b/>
          <w:bCs/>
          <w:kern w:val="10"/>
          <w:sz w:val="24"/>
          <w:szCs w:val="24"/>
        </w:rPr>
        <w:lastRenderedPageBreak/>
        <w:t>JORGE RODRÍGUEZ GÓMEZ</w:t>
      </w:r>
    </w:p>
    <w:p w14:paraId="4E566068" w14:textId="78A40D33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Presidente de la Asamblea Nacional</w:t>
      </w:r>
    </w:p>
    <w:p w14:paraId="489B460D" w14:textId="07DB498D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</w:p>
    <w:p w14:paraId="02A15E20" w14:textId="03A49213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</w:p>
    <w:p w14:paraId="5B8488F8" w14:textId="5CED6C9E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b/>
          <w:bCs/>
          <w:kern w:val="10"/>
          <w:sz w:val="24"/>
          <w:szCs w:val="24"/>
        </w:rPr>
      </w:pPr>
      <w:r>
        <w:rPr>
          <w:rFonts w:ascii="Arial" w:hAnsi="Arial" w:cs="Arial"/>
          <w:b/>
          <w:bCs/>
          <w:kern w:val="10"/>
          <w:sz w:val="24"/>
          <w:szCs w:val="24"/>
        </w:rPr>
        <w:t>MARÍA IRIS VARELA</w:t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  <w:t>VANESA YUNETH MONTERO LÓPEZ</w:t>
      </w:r>
    </w:p>
    <w:p w14:paraId="1B6CDD51" w14:textId="3490E690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Primera Vicepresidenta</w:t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  <w:t>Segunda Vicepresidenta</w:t>
      </w:r>
    </w:p>
    <w:p w14:paraId="35E9EA8B" w14:textId="69D7B43B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</w:p>
    <w:p w14:paraId="132A1E31" w14:textId="62071600" w:rsid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b/>
          <w:bCs/>
          <w:kern w:val="10"/>
          <w:sz w:val="24"/>
          <w:szCs w:val="24"/>
        </w:rPr>
      </w:pPr>
      <w:r>
        <w:rPr>
          <w:rFonts w:ascii="Arial" w:hAnsi="Arial" w:cs="Arial"/>
          <w:b/>
          <w:bCs/>
          <w:kern w:val="10"/>
          <w:sz w:val="24"/>
          <w:szCs w:val="24"/>
        </w:rPr>
        <w:t>ROSALBA GIL PACHECO</w:t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</w:r>
      <w:r>
        <w:rPr>
          <w:rFonts w:ascii="Arial" w:hAnsi="Arial" w:cs="Arial"/>
          <w:b/>
          <w:bCs/>
          <w:kern w:val="10"/>
          <w:sz w:val="24"/>
          <w:szCs w:val="24"/>
        </w:rPr>
        <w:tab/>
        <w:t xml:space="preserve">        INTI ALEJANDRA INOJOSA CORONADO</w:t>
      </w:r>
    </w:p>
    <w:p w14:paraId="44E3EB05" w14:textId="78BBFA27" w:rsidR="00650DA6" w:rsidRPr="00650DA6" w:rsidRDefault="00650DA6" w:rsidP="00650DA6">
      <w:pPr>
        <w:pStyle w:val="Textoindependiente"/>
        <w:spacing w:before="120"/>
        <w:ind w:right="2"/>
        <w:jc w:val="center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Secretaria</w:t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</w:r>
      <w:r>
        <w:rPr>
          <w:rFonts w:ascii="Arial" w:hAnsi="Arial" w:cs="Arial"/>
          <w:kern w:val="10"/>
          <w:sz w:val="24"/>
          <w:szCs w:val="24"/>
        </w:rPr>
        <w:tab/>
        <w:t>Subsecretaria</w:t>
      </w:r>
    </w:p>
    <w:p w14:paraId="6196F110" w14:textId="76AAD09F" w:rsidR="00650DA6" w:rsidRDefault="00650DA6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12124D7D" w14:textId="63337346" w:rsidR="00650DA6" w:rsidRDefault="00650DA6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27CE8789" w14:textId="77777777" w:rsidR="00D632BF" w:rsidRPr="00650DA6" w:rsidRDefault="00D632BF" w:rsidP="00D632BF">
      <w:pPr>
        <w:spacing w:before="120"/>
        <w:ind w:right="2"/>
        <w:jc w:val="both"/>
        <w:rPr>
          <w:rFonts w:ascii="Arial" w:hAnsi="Arial" w:cs="Arial"/>
          <w:b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 xml:space="preserve">Promulgación de la </w:t>
      </w:r>
      <w:r w:rsidRPr="001A3905">
        <w:rPr>
          <w:rFonts w:ascii="Arial" w:hAnsi="Arial" w:cs="Arial"/>
          <w:b/>
          <w:kern w:val="10"/>
          <w:sz w:val="24"/>
          <w:szCs w:val="24"/>
        </w:rPr>
        <w:t>LEY DE REFORMA PARCIAL DEL DECRETO CON RANGO, VALOR Y FUERZA DE LEY DE IMPUESTO A LAS GRANDES</w:t>
      </w:r>
      <w:r>
        <w:rPr>
          <w:rFonts w:ascii="Arial" w:hAnsi="Arial" w:cs="Arial"/>
          <w:b/>
          <w:kern w:val="10"/>
          <w:sz w:val="24"/>
          <w:szCs w:val="24"/>
        </w:rPr>
        <w:t xml:space="preserve"> </w:t>
      </w:r>
      <w:r w:rsidRPr="001A3905">
        <w:rPr>
          <w:rFonts w:ascii="Arial" w:hAnsi="Arial" w:cs="Arial"/>
          <w:b/>
          <w:kern w:val="10"/>
          <w:sz w:val="24"/>
          <w:szCs w:val="24"/>
        </w:rPr>
        <w:t>TRANSACCIONES FINANCIERAS</w:t>
      </w:r>
      <w:r w:rsidRPr="001A3905">
        <w:rPr>
          <w:rFonts w:ascii="Arial" w:hAnsi="Arial" w:cs="Arial"/>
          <w:kern w:val="10"/>
          <w:sz w:val="24"/>
          <w:szCs w:val="24"/>
        </w:rPr>
        <w:t>, de conformidad con lo previsto en el artículo 213 de la Constitución de la República Bolivariana de Venezuela.</w:t>
      </w:r>
    </w:p>
    <w:p w14:paraId="39326305" w14:textId="77777777" w:rsidR="00D632BF" w:rsidRPr="001A3905" w:rsidRDefault="00D632BF" w:rsidP="00D632BF">
      <w:pPr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noProof/>
          <w:kern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69CA0D5A" wp14:editId="076F20B2">
                <wp:simplePos x="0" y="0"/>
                <wp:positionH relativeFrom="page">
                  <wp:posOffset>2538730</wp:posOffset>
                </wp:positionH>
                <wp:positionV relativeFrom="paragraph">
                  <wp:posOffset>126365</wp:posOffset>
                </wp:positionV>
                <wp:extent cx="203200" cy="11303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2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3039E" w14:textId="77777777" w:rsidR="00D632BF" w:rsidRDefault="00D632BF" w:rsidP="00D632BF">
                            <w:pPr>
                              <w:spacing w:before="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162°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0D5A" id="Text Box 18" o:spid="_x0000_s1026" type="#_x0000_t202" style="position:absolute;left:0;text-align:left;margin-left:199.9pt;margin-top:9.95pt;width:16pt;height:8.9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BQoyAEAAIADAAAOAAAAZHJzL2Uyb0RvYy54bWysU9uO0zAQfUfiHyy/06SthFDUdAWsFiEt&#13;&#10;F2nhAxzHbiwSj5lxm5SvZ+w0XWDfVrxY4/H4+Jwz493NNPTiZJAc+FquV6UUxmtonT/U8vu3u1dv&#13;&#10;pKCofKt68KaWZ0PyZv/yxW4MldlAB31rUDCIp2oMtexiDFVRkO7MoGgFwXg+tICDirzFQ9GiGhl9&#13;&#10;6ItNWb4uRsA2IGhDxNnb+VDuM761Rscv1pKJoq8lc4t5xbw2aS32O1UdUIXO6QsN9QwWg3KeH71C&#13;&#10;3aqoxBHdE6jBaQQCG1cahgKsddpkDaxmXf6j5qFTwWQtbA6Fq030/2D159ND+IoiTu9g4gZmERTu&#13;&#10;Qf8g9qYYA1WXmuQpVZSqm/ETtNxNdYyQb0wWhySfBQmGYafPV3fNFIXm5Kbccsek0Hy0Xm/LbXa/&#13;&#10;UNVyOSDFDwYGkYJaIjcvg6vTPcVERlVLSXrLw53r+9zA3v+V4MKUyeQT35l5nJpJuJaJpK4nLQ20&#13;&#10;Z1aDMI8FjzEHHeAvKUYeiVrSz6NCI0X/0bPnaX6WAJegWQLlNV+tZZRiDt/Hec6OAd2hY+TZXA9v&#13;&#10;2TXrsqJHFhe63OYs9DKSaY7+3Oeqx4+z/w0AAP//AwBQSwMEFAAGAAgAAAAhAF9UXMvjAAAADgEA&#13;&#10;AA8AAABkcnMvZG93bnJldi54bWxMj0FPwzAMhe9I/IfISNxYug3o2jWd0KaJA9phg0kcvSY0FU1S&#13;&#10;JVmX/XvMCS6W7M9+fq9aJdOzUfnQOStgOsmAKds42dlWwMf79mEBLES0EntnlYCrCrCqb28qLKW7&#13;&#10;2L0aD7FlJGJDiQJ0jEPJeWi0MhgmblCW2JfzBiO1vuXS44XETc9nWfbMDXaWPmgc1Fqr5vtwNgKO&#13;&#10;62H7lj417sYn+bqZ5furb5IQ93dps6TysgQWVYp/F/CbgfxDTcZO7mxlYL2AeVGQ/0igKIDRwuN8&#13;&#10;SoMTkTwHXlf8f4z6BwAA//8DAFBLAQItABQABgAIAAAAIQC2gziS/gAAAOEBAAATAAAAAAAAAAAA&#13;&#10;AAAAAAAAAABbQ29udGVudF9UeXBlc10ueG1sUEsBAi0AFAAGAAgAAAAhADj9If/WAAAAlAEAAAsA&#13;&#10;AAAAAAAAAAAAAAAALwEAAF9yZWxzLy5yZWxzUEsBAi0AFAAGAAgAAAAhANNoFCjIAQAAgAMAAA4A&#13;&#10;AAAAAAAAAAAAAAAALgIAAGRycy9lMm9Eb2MueG1sUEsBAi0AFAAGAAgAAAAhAF9UXMvjAAAADgEA&#13;&#10;AA8AAAAAAAAAAAAAAAAAIgQAAGRycy9kb3ducmV2LnhtbFBLBQYAAAAABAAEAPMAAAAyBQAAAAA=&#13;&#10;" filled="f" stroked="f">
                <v:path arrowok="t"/>
                <v:textbox inset="0,0,0,0">
                  <w:txbxContent>
                    <w:p w14:paraId="2BA3039E" w14:textId="77777777" w:rsidR="00D632BF" w:rsidRDefault="00D632BF" w:rsidP="00D632BF">
                      <w:pPr>
                        <w:spacing w:before="7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162°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905">
        <w:rPr>
          <w:rFonts w:ascii="Arial" w:hAnsi="Arial" w:cs="Arial"/>
          <w:kern w:val="10"/>
          <w:sz w:val="24"/>
          <w:szCs w:val="24"/>
        </w:rPr>
        <w:t xml:space="preserve">Dado en Caracas, a los veinticinco días del mes de febrero de dos mil veintidós. Años 211° de la Independencia, </w:t>
      </w:r>
      <w:r w:rsidRPr="001A3905">
        <w:rPr>
          <w:rFonts w:ascii="Arial" w:hAnsi="Arial" w:cs="Arial"/>
          <w:color w:val="231F20"/>
          <w:kern w:val="10"/>
          <w:sz w:val="24"/>
          <w:szCs w:val="24"/>
        </w:rPr>
        <w:t xml:space="preserve">163º </w:t>
      </w:r>
      <w:r w:rsidRPr="001A3905">
        <w:rPr>
          <w:rFonts w:ascii="Arial" w:hAnsi="Arial" w:cs="Arial"/>
          <w:kern w:val="10"/>
          <w:sz w:val="24"/>
          <w:szCs w:val="24"/>
        </w:rPr>
        <w:t>de la Federación y 23° de la Revolución Bolivariana.</w:t>
      </w:r>
    </w:p>
    <w:p w14:paraId="5D0D7EE5" w14:textId="77777777" w:rsidR="00D632BF" w:rsidRPr="001A3905" w:rsidRDefault="00D632BF" w:rsidP="00D632BF">
      <w:pPr>
        <w:spacing w:before="120"/>
        <w:ind w:right="2"/>
        <w:rPr>
          <w:rFonts w:ascii="Arial" w:hAnsi="Arial" w:cs="Arial"/>
          <w:kern w:val="10"/>
          <w:sz w:val="24"/>
          <w:szCs w:val="24"/>
        </w:rPr>
      </w:pPr>
      <w:r w:rsidRPr="001A3905">
        <w:rPr>
          <w:rFonts w:ascii="Arial" w:hAnsi="Arial" w:cs="Arial"/>
          <w:kern w:val="10"/>
          <w:sz w:val="24"/>
          <w:szCs w:val="24"/>
        </w:rPr>
        <w:t>Cúmplase, (L.S.)</w:t>
      </w:r>
    </w:p>
    <w:p w14:paraId="47DA2D7B" w14:textId="6A2DCC69" w:rsidR="00650DA6" w:rsidRDefault="00650DA6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p w14:paraId="7A07BFFE" w14:textId="4079E2D2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b/>
          <w:bCs/>
          <w:kern w:val="10"/>
          <w:sz w:val="24"/>
          <w:szCs w:val="24"/>
        </w:rPr>
      </w:pPr>
      <w:r>
        <w:rPr>
          <w:rFonts w:ascii="Arial" w:hAnsi="Arial" w:cs="Arial"/>
          <w:b/>
          <w:bCs/>
          <w:kern w:val="10"/>
          <w:sz w:val="24"/>
          <w:szCs w:val="24"/>
        </w:rPr>
        <w:t>NICOLÁS MADURO MORO</w:t>
      </w:r>
    </w:p>
    <w:p w14:paraId="1EFF720D" w14:textId="1E4FE44D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Presidente de la República</w:t>
      </w:r>
    </w:p>
    <w:p w14:paraId="79F62261" w14:textId="675C3C04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Bolivariana de Venezuela</w:t>
      </w:r>
    </w:p>
    <w:p w14:paraId="5877462F" w14:textId="72CC6604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</w:p>
    <w:p w14:paraId="2672ABB4" w14:textId="218FD727" w:rsidR="00D632BF" w:rsidRDefault="00D632BF" w:rsidP="00D632BF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Refrendado Vicepresidenta Ejecutiva de la República Bolivariana de Venezuela y Primera Vicepresidenta del Consejo de Ministros</w:t>
      </w:r>
    </w:p>
    <w:p w14:paraId="263DB33C" w14:textId="6A0BE86E" w:rsidR="00D632BF" w:rsidRDefault="00D632BF" w:rsidP="00D632BF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(L.S.).</w:t>
      </w:r>
    </w:p>
    <w:p w14:paraId="65E0B27A" w14:textId="0B24420C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DELCY ELOÍNA RODRÍGUEZ GÓMEZ</w:t>
      </w:r>
    </w:p>
    <w:p w14:paraId="0906720C" w14:textId="5751E5DD" w:rsidR="00D632BF" w:rsidRDefault="00D632BF" w:rsidP="00D632BF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</w:p>
    <w:p w14:paraId="7BEC2F44" w14:textId="38775B1E" w:rsidR="00D632BF" w:rsidRPr="00D632BF" w:rsidRDefault="00D632BF" w:rsidP="00D632BF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Refrendado Ministros</w:t>
      </w:r>
    </w:p>
    <w:p w14:paraId="647337A5" w14:textId="13ED2CEB" w:rsidR="00D44030" w:rsidRPr="001A3905" w:rsidRDefault="00D44030" w:rsidP="00933631">
      <w:pPr>
        <w:pStyle w:val="Textoindependiente"/>
        <w:spacing w:before="120"/>
        <w:ind w:right="2"/>
        <w:rPr>
          <w:rFonts w:ascii="Arial" w:hAnsi="Arial" w:cs="Arial"/>
          <w:kern w:val="10"/>
          <w:sz w:val="24"/>
          <w:szCs w:val="24"/>
        </w:rPr>
      </w:pPr>
    </w:p>
    <w:sectPr w:rsidR="00D44030" w:rsidRPr="001A3905" w:rsidSect="001A3905">
      <w:headerReference w:type="even" r:id="rId7"/>
      <w:pgSz w:w="13610" w:h="18150"/>
      <w:pgMar w:top="1701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FB96" w14:textId="77777777" w:rsidR="00030553" w:rsidRDefault="00030553">
      <w:r>
        <w:separator/>
      </w:r>
    </w:p>
  </w:endnote>
  <w:endnote w:type="continuationSeparator" w:id="0">
    <w:p w14:paraId="4A07E347" w14:textId="77777777" w:rsidR="00030553" w:rsidRDefault="0003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FE95" w14:textId="77777777" w:rsidR="00030553" w:rsidRDefault="00030553">
      <w:r>
        <w:separator/>
      </w:r>
    </w:p>
  </w:footnote>
  <w:footnote w:type="continuationSeparator" w:id="0">
    <w:p w14:paraId="32033201" w14:textId="77777777" w:rsidR="00030553" w:rsidRDefault="0003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09FA" w14:textId="77777777" w:rsidR="00D44030" w:rsidRDefault="00D4403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6D2"/>
    <w:multiLevelType w:val="hybridMultilevel"/>
    <w:tmpl w:val="2C0E9374"/>
    <w:lvl w:ilvl="0" w:tplc="34226968">
      <w:start w:val="1"/>
      <w:numFmt w:val="decimal"/>
      <w:lvlText w:val="%1."/>
      <w:lvlJc w:val="left"/>
      <w:pPr>
        <w:ind w:left="689" w:hanging="212"/>
        <w:jc w:val="left"/>
      </w:pPr>
      <w:rPr>
        <w:rFonts w:ascii="Calibri" w:eastAsia="Calibri" w:hAnsi="Calibri" w:cs="Calibri" w:hint="default"/>
        <w:w w:val="100"/>
        <w:sz w:val="13"/>
        <w:szCs w:val="13"/>
        <w:lang w:val="es-ES" w:eastAsia="en-US" w:bidi="ar-SA"/>
      </w:rPr>
    </w:lvl>
    <w:lvl w:ilvl="1" w:tplc="2B70F596">
      <w:numFmt w:val="bullet"/>
      <w:lvlText w:val="•"/>
      <w:lvlJc w:val="left"/>
      <w:pPr>
        <w:ind w:left="1183" w:hanging="212"/>
      </w:pPr>
      <w:rPr>
        <w:rFonts w:hint="default"/>
        <w:lang w:val="es-ES" w:eastAsia="en-US" w:bidi="ar-SA"/>
      </w:rPr>
    </w:lvl>
    <w:lvl w:ilvl="2" w:tplc="1F22C456">
      <w:numFmt w:val="bullet"/>
      <w:lvlText w:val="•"/>
      <w:lvlJc w:val="left"/>
      <w:pPr>
        <w:ind w:left="1686" w:hanging="212"/>
      </w:pPr>
      <w:rPr>
        <w:rFonts w:hint="default"/>
        <w:lang w:val="es-ES" w:eastAsia="en-US" w:bidi="ar-SA"/>
      </w:rPr>
    </w:lvl>
    <w:lvl w:ilvl="3" w:tplc="A68CDAE8">
      <w:numFmt w:val="bullet"/>
      <w:lvlText w:val="•"/>
      <w:lvlJc w:val="left"/>
      <w:pPr>
        <w:ind w:left="2190" w:hanging="212"/>
      </w:pPr>
      <w:rPr>
        <w:rFonts w:hint="default"/>
        <w:lang w:val="es-ES" w:eastAsia="en-US" w:bidi="ar-SA"/>
      </w:rPr>
    </w:lvl>
    <w:lvl w:ilvl="4" w:tplc="B302DDDC">
      <w:numFmt w:val="bullet"/>
      <w:lvlText w:val="•"/>
      <w:lvlJc w:val="left"/>
      <w:pPr>
        <w:ind w:left="2693" w:hanging="212"/>
      </w:pPr>
      <w:rPr>
        <w:rFonts w:hint="default"/>
        <w:lang w:val="es-ES" w:eastAsia="en-US" w:bidi="ar-SA"/>
      </w:rPr>
    </w:lvl>
    <w:lvl w:ilvl="5" w:tplc="FCFA9C2C">
      <w:numFmt w:val="bullet"/>
      <w:lvlText w:val="•"/>
      <w:lvlJc w:val="left"/>
      <w:pPr>
        <w:ind w:left="3196" w:hanging="212"/>
      </w:pPr>
      <w:rPr>
        <w:rFonts w:hint="default"/>
        <w:lang w:val="es-ES" w:eastAsia="en-US" w:bidi="ar-SA"/>
      </w:rPr>
    </w:lvl>
    <w:lvl w:ilvl="6" w:tplc="F40E7F2E">
      <w:numFmt w:val="bullet"/>
      <w:lvlText w:val="•"/>
      <w:lvlJc w:val="left"/>
      <w:pPr>
        <w:ind w:left="3700" w:hanging="212"/>
      </w:pPr>
      <w:rPr>
        <w:rFonts w:hint="default"/>
        <w:lang w:val="es-ES" w:eastAsia="en-US" w:bidi="ar-SA"/>
      </w:rPr>
    </w:lvl>
    <w:lvl w:ilvl="7" w:tplc="7568B692">
      <w:numFmt w:val="bullet"/>
      <w:lvlText w:val="•"/>
      <w:lvlJc w:val="left"/>
      <w:pPr>
        <w:ind w:left="4203" w:hanging="212"/>
      </w:pPr>
      <w:rPr>
        <w:rFonts w:hint="default"/>
        <w:lang w:val="es-ES" w:eastAsia="en-US" w:bidi="ar-SA"/>
      </w:rPr>
    </w:lvl>
    <w:lvl w:ilvl="8" w:tplc="85E40AAA">
      <w:numFmt w:val="bullet"/>
      <w:lvlText w:val="•"/>
      <w:lvlJc w:val="left"/>
      <w:pPr>
        <w:ind w:left="4706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11DD084B"/>
    <w:multiLevelType w:val="hybridMultilevel"/>
    <w:tmpl w:val="D242B66C"/>
    <w:lvl w:ilvl="0" w:tplc="F1248A26">
      <w:start w:val="1"/>
      <w:numFmt w:val="decimal"/>
      <w:lvlText w:val="%1."/>
      <w:lvlJc w:val="left"/>
      <w:pPr>
        <w:ind w:left="715" w:hanging="211"/>
        <w:jc w:val="left"/>
      </w:pPr>
      <w:rPr>
        <w:rFonts w:hint="default"/>
        <w:w w:val="100"/>
        <w:lang w:val="es-ES" w:eastAsia="en-US" w:bidi="ar-SA"/>
      </w:rPr>
    </w:lvl>
    <w:lvl w:ilvl="1" w:tplc="46E08C8C">
      <w:start w:val="1"/>
      <w:numFmt w:val="decimal"/>
      <w:lvlText w:val="%2."/>
      <w:lvlJc w:val="left"/>
      <w:pPr>
        <w:ind w:left="860" w:hanging="291"/>
        <w:jc w:val="left"/>
      </w:pPr>
      <w:rPr>
        <w:rFonts w:ascii="Calibri" w:eastAsia="Calibri" w:hAnsi="Calibri" w:cs="Calibri" w:hint="default"/>
        <w:w w:val="98"/>
        <w:sz w:val="13"/>
        <w:szCs w:val="13"/>
        <w:lang w:val="es-ES" w:eastAsia="en-US" w:bidi="ar-SA"/>
      </w:rPr>
    </w:lvl>
    <w:lvl w:ilvl="2" w:tplc="58A67378">
      <w:numFmt w:val="bullet"/>
      <w:lvlText w:val="•"/>
      <w:lvlJc w:val="left"/>
      <w:pPr>
        <w:ind w:left="713" w:hanging="291"/>
      </w:pPr>
      <w:rPr>
        <w:rFonts w:hint="default"/>
        <w:lang w:val="es-ES" w:eastAsia="en-US" w:bidi="ar-SA"/>
      </w:rPr>
    </w:lvl>
    <w:lvl w:ilvl="3" w:tplc="2A509390">
      <w:numFmt w:val="bullet"/>
      <w:lvlText w:val="•"/>
      <w:lvlJc w:val="left"/>
      <w:pPr>
        <w:ind w:left="566" w:hanging="291"/>
      </w:pPr>
      <w:rPr>
        <w:rFonts w:hint="default"/>
        <w:lang w:val="es-ES" w:eastAsia="en-US" w:bidi="ar-SA"/>
      </w:rPr>
    </w:lvl>
    <w:lvl w:ilvl="4" w:tplc="61F440F8">
      <w:numFmt w:val="bullet"/>
      <w:lvlText w:val="•"/>
      <w:lvlJc w:val="left"/>
      <w:pPr>
        <w:ind w:left="419" w:hanging="291"/>
      </w:pPr>
      <w:rPr>
        <w:rFonts w:hint="default"/>
        <w:lang w:val="es-ES" w:eastAsia="en-US" w:bidi="ar-SA"/>
      </w:rPr>
    </w:lvl>
    <w:lvl w:ilvl="5" w:tplc="E370DD56">
      <w:numFmt w:val="bullet"/>
      <w:lvlText w:val="•"/>
      <w:lvlJc w:val="left"/>
      <w:pPr>
        <w:ind w:left="272" w:hanging="291"/>
      </w:pPr>
      <w:rPr>
        <w:rFonts w:hint="default"/>
        <w:lang w:val="es-ES" w:eastAsia="en-US" w:bidi="ar-SA"/>
      </w:rPr>
    </w:lvl>
    <w:lvl w:ilvl="6" w:tplc="E04AFE8C">
      <w:numFmt w:val="bullet"/>
      <w:lvlText w:val="•"/>
      <w:lvlJc w:val="left"/>
      <w:pPr>
        <w:ind w:left="125" w:hanging="291"/>
      </w:pPr>
      <w:rPr>
        <w:rFonts w:hint="default"/>
        <w:lang w:val="es-ES" w:eastAsia="en-US" w:bidi="ar-SA"/>
      </w:rPr>
    </w:lvl>
    <w:lvl w:ilvl="7" w:tplc="EAA0AE82">
      <w:numFmt w:val="bullet"/>
      <w:lvlText w:val="•"/>
      <w:lvlJc w:val="left"/>
      <w:pPr>
        <w:ind w:left="-22" w:hanging="291"/>
      </w:pPr>
      <w:rPr>
        <w:rFonts w:hint="default"/>
        <w:lang w:val="es-ES" w:eastAsia="en-US" w:bidi="ar-SA"/>
      </w:rPr>
    </w:lvl>
    <w:lvl w:ilvl="8" w:tplc="30B87884">
      <w:numFmt w:val="bullet"/>
      <w:lvlText w:val="•"/>
      <w:lvlJc w:val="left"/>
      <w:pPr>
        <w:ind w:left="-168" w:hanging="291"/>
      </w:pPr>
      <w:rPr>
        <w:rFonts w:hint="default"/>
        <w:lang w:val="es-ES" w:eastAsia="en-US" w:bidi="ar-SA"/>
      </w:rPr>
    </w:lvl>
  </w:abstractNum>
  <w:abstractNum w:abstractNumId="2" w15:restartNumberingAfterBreak="0">
    <w:nsid w:val="1D3F3E71"/>
    <w:multiLevelType w:val="hybridMultilevel"/>
    <w:tmpl w:val="8A4E4D8A"/>
    <w:lvl w:ilvl="0" w:tplc="1BD40F40">
      <w:start w:val="1"/>
      <w:numFmt w:val="decimal"/>
      <w:lvlText w:val="%1."/>
      <w:lvlJc w:val="left"/>
      <w:pPr>
        <w:ind w:left="523" w:hanging="226"/>
        <w:jc w:val="left"/>
      </w:pPr>
      <w:rPr>
        <w:rFonts w:ascii="Tahoma" w:eastAsia="Tahoma" w:hAnsi="Tahoma" w:cs="Tahoma" w:hint="default"/>
        <w:w w:val="103"/>
        <w:sz w:val="15"/>
        <w:szCs w:val="15"/>
        <w:lang w:val="es-ES" w:eastAsia="en-US" w:bidi="ar-SA"/>
      </w:rPr>
    </w:lvl>
    <w:lvl w:ilvl="1" w:tplc="70EC955A">
      <w:numFmt w:val="bullet"/>
      <w:lvlText w:val="•"/>
      <w:lvlJc w:val="left"/>
      <w:pPr>
        <w:ind w:left="1038" w:hanging="226"/>
      </w:pPr>
      <w:rPr>
        <w:rFonts w:hint="default"/>
        <w:lang w:val="es-ES" w:eastAsia="en-US" w:bidi="ar-SA"/>
      </w:rPr>
    </w:lvl>
    <w:lvl w:ilvl="2" w:tplc="34EE12A2">
      <w:numFmt w:val="bullet"/>
      <w:lvlText w:val="•"/>
      <w:lvlJc w:val="left"/>
      <w:pPr>
        <w:ind w:left="1557" w:hanging="226"/>
      </w:pPr>
      <w:rPr>
        <w:rFonts w:hint="default"/>
        <w:lang w:val="es-ES" w:eastAsia="en-US" w:bidi="ar-SA"/>
      </w:rPr>
    </w:lvl>
    <w:lvl w:ilvl="3" w:tplc="1E7E2AEA">
      <w:numFmt w:val="bullet"/>
      <w:lvlText w:val="•"/>
      <w:lvlJc w:val="left"/>
      <w:pPr>
        <w:ind w:left="2075" w:hanging="226"/>
      </w:pPr>
      <w:rPr>
        <w:rFonts w:hint="default"/>
        <w:lang w:val="es-ES" w:eastAsia="en-US" w:bidi="ar-SA"/>
      </w:rPr>
    </w:lvl>
    <w:lvl w:ilvl="4" w:tplc="BCF222BE">
      <w:numFmt w:val="bullet"/>
      <w:lvlText w:val="•"/>
      <w:lvlJc w:val="left"/>
      <w:pPr>
        <w:ind w:left="2594" w:hanging="226"/>
      </w:pPr>
      <w:rPr>
        <w:rFonts w:hint="default"/>
        <w:lang w:val="es-ES" w:eastAsia="en-US" w:bidi="ar-SA"/>
      </w:rPr>
    </w:lvl>
    <w:lvl w:ilvl="5" w:tplc="4656E8F4">
      <w:numFmt w:val="bullet"/>
      <w:lvlText w:val="•"/>
      <w:lvlJc w:val="left"/>
      <w:pPr>
        <w:ind w:left="3112" w:hanging="226"/>
      </w:pPr>
      <w:rPr>
        <w:rFonts w:hint="default"/>
        <w:lang w:val="es-ES" w:eastAsia="en-US" w:bidi="ar-SA"/>
      </w:rPr>
    </w:lvl>
    <w:lvl w:ilvl="6" w:tplc="6E285172">
      <w:numFmt w:val="bullet"/>
      <w:lvlText w:val="•"/>
      <w:lvlJc w:val="left"/>
      <w:pPr>
        <w:ind w:left="3631" w:hanging="226"/>
      </w:pPr>
      <w:rPr>
        <w:rFonts w:hint="default"/>
        <w:lang w:val="es-ES" w:eastAsia="en-US" w:bidi="ar-SA"/>
      </w:rPr>
    </w:lvl>
    <w:lvl w:ilvl="7" w:tplc="FE42D6EC">
      <w:numFmt w:val="bullet"/>
      <w:lvlText w:val="•"/>
      <w:lvlJc w:val="left"/>
      <w:pPr>
        <w:ind w:left="4149" w:hanging="226"/>
      </w:pPr>
      <w:rPr>
        <w:rFonts w:hint="default"/>
        <w:lang w:val="es-ES" w:eastAsia="en-US" w:bidi="ar-SA"/>
      </w:rPr>
    </w:lvl>
    <w:lvl w:ilvl="8" w:tplc="935CCA20">
      <w:numFmt w:val="bullet"/>
      <w:lvlText w:val="•"/>
      <w:lvlJc w:val="left"/>
      <w:pPr>
        <w:ind w:left="4668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431E0DEB"/>
    <w:multiLevelType w:val="hybridMultilevel"/>
    <w:tmpl w:val="2B887334"/>
    <w:lvl w:ilvl="0" w:tplc="F316502C">
      <w:start w:val="1"/>
      <w:numFmt w:val="decimal"/>
      <w:lvlText w:val="%1."/>
      <w:lvlJc w:val="left"/>
      <w:pPr>
        <w:ind w:left="717" w:hanging="213"/>
        <w:jc w:val="left"/>
      </w:pPr>
      <w:rPr>
        <w:rFonts w:ascii="Calibri" w:eastAsia="Calibri" w:hAnsi="Calibri" w:cs="Calibri" w:hint="default"/>
        <w:w w:val="100"/>
        <w:sz w:val="13"/>
        <w:szCs w:val="13"/>
        <w:lang w:val="es-ES" w:eastAsia="en-US" w:bidi="ar-SA"/>
      </w:rPr>
    </w:lvl>
    <w:lvl w:ilvl="1" w:tplc="0338D382">
      <w:numFmt w:val="bullet"/>
      <w:lvlText w:val="•"/>
      <w:lvlJc w:val="left"/>
      <w:pPr>
        <w:ind w:left="1040" w:hanging="213"/>
      </w:pPr>
      <w:rPr>
        <w:rFonts w:hint="default"/>
        <w:lang w:val="es-ES" w:eastAsia="en-US" w:bidi="ar-SA"/>
      </w:rPr>
    </w:lvl>
    <w:lvl w:ilvl="2" w:tplc="B3AE9100">
      <w:numFmt w:val="bullet"/>
      <w:lvlText w:val="•"/>
      <w:lvlJc w:val="left"/>
      <w:pPr>
        <w:ind w:left="1559" w:hanging="213"/>
      </w:pPr>
      <w:rPr>
        <w:rFonts w:hint="default"/>
        <w:lang w:val="es-ES" w:eastAsia="en-US" w:bidi="ar-SA"/>
      </w:rPr>
    </w:lvl>
    <w:lvl w:ilvl="3" w:tplc="2750B190">
      <w:numFmt w:val="bullet"/>
      <w:lvlText w:val="•"/>
      <w:lvlJc w:val="left"/>
      <w:pPr>
        <w:ind w:left="2079" w:hanging="213"/>
      </w:pPr>
      <w:rPr>
        <w:rFonts w:hint="default"/>
        <w:lang w:val="es-ES" w:eastAsia="en-US" w:bidi="ar-SA"/>
      </w:rPr>
    </w:lvl>
    <w:lvl w:ilvl="4" w:tplc="60089420">
      <w:numFmt w:val="bullet"/>
      <w:lvlText w:val="•"/>
      <w:lvlJc w:val="left"/>
      <w:pPr>
        <w:ind w:left="2599" w:hanging="213"/>
      </w:pPr>
      <w:rPr>
        <w:rFonts w:hint="default"/>
        <w:lang w:val="es-ES" w:eastAsia="en-US" w:bidi="ar-SA"/>
      </w:rPr>
    </w:lvl>
    <w:lvl w:ilvl="5" w:tplc="32C87C66">
      <w:numFmt w:val="bullet"/>
      <w:lvlText w:val="•"/>
      <w:lvlJc w:val="left"/>
      <w:pPr>
        <w:ind w:left="3119" w:hanging="213"/>
      </w:pPr>
      <w:rPr>
        <w:rFonts w:hint="default"/>
        <w:lang w:val="es-ES" w:eastAsia="en-US" w:bidi="ar-SA"/>
      </w:rPr>
    </w:lvl>
    <w:lvl w:ilvl="6" w:tplc="D9343ED2">
      <w:numFmt w:val="bullet"/>
      <w:lvlText w:val="•"/>
      <w:lvlJc w:val="left"/>
      <w:pPr>
        <w:ind w:left="3638" w:hanging="213"/>
      </w:pPr>
      <w:rPr>
        <w:rFonts w:hint="default"/>
        <w:lang w:val="es-ES" w:eastAsia="en-US" w:bidi="ar-SA"/>
      </w:rPr>
    </w:lvl>
    <w:lvl w:ilvl="7" w:tplc="690C8926">
      <w:numFmt w:val="bullet"/>
      <w:lvlText w:val="•"/>
      <w:lvlJc w:val="left"/>
      <w:pPr>
        <w:ind w:left="4158" w:hanging="213"/>
      </w:pPr>
      <w:rPr>
        <w:rFonts w:hint="default"/>
        <w:lang w:val="es-ES" w:eastAsia="en-US" w:bidi="ar-SA"/>
      </w:rPr>
    </w:lvl>
    <w:lvl w:ilvl="8" w:tplc="F64EB6D6">
      <w:numFmt w:val="bullet"/>
      <w:lvlText w:val="•"/>
      <w:lvlJc w:val="left"/>
      <w:pPr>
        <w:ind w:left="4678" w:hanging="213"/>
      </w:pPr>
      <w:rPr>
        <w:rFonts w:hint="default"/>
        <w:lang w:val="es-ES" w:eastAsia="en-US" w:bidi="ar-SA"/>
      </w:rPr>
    </w:lvl>
  </w:abstractNum>
  <w:abstractNum w:abstractNumId="4" w15:restartNumberingAfterBreak="0">
    <w:nsid w:val="54FF786C"/>
    <w:multiLevelType w:val="hybridMultilevel"/>
    <w:tmpl w:val="581219C0"/>
    <w:lvl w:ilvl="0" w:tplc="1D4A13EA">
      <w:start w:val="1"/>
      <w:numFmt w:val="decimal"/>
      <w:lvlText w:val="%1."/>
      <w:lvlJc w:val="left"/>
      <w:pPr>
        <w:ind w:left="430" w:hanging="182"/>
        <w:jc w:val="left"/>
      </w:pPr>
      <w:rPr>
        <w:rFonts w:ascii="Tahoma" w:eastAsia="Tahoma" w:hAnsi="Tahoma" w:cs="Tahoma" w:hint="default"/>
        <w:w w:val="102"/>
        <w:sz w:val="15"/>
        <w:szCs w:val="15"/>
        <w:lang w:val="es-ES" w:eastAsia="en-US" w:bidi="ar-SA"/>
      </w:rPr>
    </w:lvl>
    <w:lvl w:ilvl="1" w:tplc="5914D1D0">
      <w:numFmt w:val="bullet"/>
      <w:lvlText w:val="•"/>
      <w:lvlJc w:val="left"/>
      <w:pPr>
        <w:ind w:left="960" w:hanging="182"/>
      </w:pPr>
      <w:rPr>
        <w:rFonts w:hint="default"/>
        <w:lang w:val="es-ES" w:eastAsia="en-US" w:bidi="ar-SA"/>
      </w:rPr>
    </w:lvl>
    <w:lvl w:ilvl="2" w:tplc="9432B748">
      <w:numFmt w:val="bullet"/>
      <w:lvlText w:val="•"/>
      <w:lvlJc w:val="left"/>
      <w:pPr>
        <w:ind w:left="1481" w:hanging="182"/>
      </w:pPr>
      <w:rPr>
        <w:rFonts w:hint="default"/>
        <w:lang w:val="es-ES" w:eastAsia="en-US" w:bidi="ar-SA"/>
      </w:rPr>
    </w:lvl>
    <w:lvl w:ilvl="3" w:tplc="EB6874AA">
      <w:numFmt w:val="bullet"/>
      <w:lvlText w:val="•"/>
      <w:lvlJc w:val="left"/>
      <w:pPr>
        <w:ind w:left="2002" w:hanging="182"/>
      </w:pPr>
      <w:rPr>
        <w:rFonts w:hint="default"/>
        <w:lang w:val="es-ES" w:eastAsia="en-US" w:bidi="ar-SA"/>
      </w:rPr>
    </w:lvl>
    <w:lvl w:ilvl="4" w:tplc="06E60EB0">
      <w:numFmt w:val="bullet"/>
      <w:lvlText w:val="•"/>
      <w:lvlJc w:val="left"/>
      <w:pPr>
        <w:ind w:left="2522" w:hanging="182"/>
      </w:pPr>
      <w:rPr>
        <w:rFonts w:hint="default"/>
        <w:lang w:val="es-ES" w:eastAsia="en-US" w:bidi="ar-SA"/>
      </w:rPr>
    </w:lvl>
    <w:lvl w:ilvl="5" w:tplc="D5441CE2">
      <w:numFmt w:val="bullet"/>
      <w:lvlText w:val="•"/>
      <w:lvlJc w:val="left"/>
      <w:pPr>
        <w:ind w:left="3043" w:hanging="182"/>
      </w:pPr>
      <w:rPr>
        <w:rFonts w:hint="default"/>
        <w:lang w:val="es-ES" w:eastAsia="en-US" w:bidi="ar-SA"/>
      </w:rPr>
    </w:lvl>
    <w:lvl w:ilvl="6" w:tplc="5CB648B0">
      <w:numFmt w:val="bullet"/>
      <w:lvlText w:val="•"/>
      <w:lvlJc w:val="left"/>
      <w:pPr>
        <w:ind w:left="3564" w:hanging="182"/>
      </w:pPr>
      <w:rPr>
        <w:rFonts w:hint="default"/>
        <w:lang w:val="es-ES" w:eastAsia="en-US" w:bidi="ar-SA"/>
      </w:rPr>
    </w:lvl>
    <w:lvl w:ilvl="7" w:tplc="FA508E9E">
      <w:numFmt w:val="bullet"/>
      <w:lvlText w:val="•"/>
      <w:lvlJc w:val="left"/>
      <w:pPr>
        <w:ind w:left="4084" w:hanging="182"/>
      </w:pPr>
      <w:rPr>
        <w:rFonts w:hint="default"/>
        <w:lang w:val="es-ES" w:eastAsia="en-US" w:bidi="ar-SA"/>
      </w:rPr>
    </w:lvl>
    <w:lvl w:ilvl="8" w:tplc="B07E5B6E">
      <w:numFmt w:val="bullet"/>
      <w:lvlText w:val="•"/>
      <w:lvlJc w:val="left"/>
      <w:pPr>
        <w:ind w:left="4605" w:hanging="182"/>
      </w:pPr>
      <w:rPr>
        <w:rFonts w:hint="default"/>
        <w:lang w:val="es-ES" w:eastAsia="en-US" w:bidi="ar-SA"/>
      </w:rPr>
    </w:lvl>
  </w:abstractNum>
  <w:abstractNum w:abstractNumId="5" w15:restartNumberingAfterBreak="0">
    <w:nsid w:val="569C6238"/>
    <w:multiLevelType w:val="hybridMultilevel"/>
    <w:tmpl w:val="9894D000"/>
    <w:lvl w:ilvl="0" w:tplc="052CA8D8">
      <w:start w:val="6"/>
      <w:numFmt w:val="decimal"/>
      <w:lvlText w:val="%1."/>
      <w:lvlJc w:val="left"/>
      <w:pPr>
        <w:ind w:left="458" w:hanging="210"/>
        <w:jc w:val="left"/>
      </w:pPr>
      <w:rPr>
        <w:rFonts w:ascii="Calibri" w:eastAsia="Calibri" w:hAnsi="Calibri" w:cs="Calibri" w:hint="default"/>
        <w:w w:val="99"/>
        <w:sz w:val="13"/>
        <w:szCs w:val="13"/>
        <w:lang w:val="es-ES" w:eastAsia="en-US" w:bidi="ar-SA"/>
      </w:rPr>
    </w:lvl>
    <w:lvl w:ilvl="1" w:tplc="141A7EAC">
      <w:start w:val="1"/>
      <w:numFmt w:val="decimal"/>
      <w:lvlText w:val="%2."/>
      <w:lvlJc w:val="left"/>
      <w:pPr>
        <w:ind w:left="769" w:hanging="292"/>
        <w:jc w:val="left"/>
      </w:pPr>
      <w:rPr>
        <w:rFonts w:ascii="Calibri" w:eastAsia="Calibri" w:hAnsi="Calibri" w:cs="Calibri" w:hint="default"/>
        <w:w w:val="99"/>
        <w:sz w:val="13"/>
        <w:szCs w:val="13"/>
        <w:lang w:val="es-ES" w:eastAsia="en-US" w:bidi="ar-SA"/>
      </w:rPr>
    </w:lvl>
    <w:lvl w:ilvl="2" w:tplc="1ABE655A">
      <w:numFmt w:val="bullet"/>
      <w:lvlText w:val="•"/>
      <w:lvlJc w:val="left"/>
      <w:pPr>
        <w:ind w:left="1107" w:hanging="292"/>
      </w:pPr>
      <w:rPr>
        <w:rFonts w:hint="default"/>
        <w:lang w:val="es-ES" w:eastAsia="en-US" w:bidi="ar-SA"/>
      </w:rPr>
    </w:lvl>
    <w:lvl w:ilvl="3" w:tplc="9942E254">
      <w:numFmt w:val="bullet"/>
      <w:lvlText w:val="•"/>
      <w:lvlJc w:val="left"/>
      <w:pPr>
        <w:ind w:left="1455" w:hanging="292"/>
      </w:pPr>
      <w:rPr>
        <w:rFonts w:hint="default"/>
        <w:lang w:val="es-ES" w:eastAsia="en-US" w:bidi="ar-SA"/>
      </w:rPr>
    </w:lvl>
    <w:lvl w:ilvl="4" w:tplc="31560ED4">
      <w:numFmt w:val="bullet"/>
      <w:lvlText w:val="•"/>
      <w:lvlJc w:val="left"/>
      <w:pPr>
        <w:ind w:left="1803" w:hanging="292"/>
      </w:pPr>
      <w:rPr>
        <w:rFonts w:hint="default"/>
        <w:lang w:val="es-ES" w:eastAsia="en-US" w:bidi="ar-SA"/>
      </w:rPr>
    </w:lvl>
    <w:lvl w:ilvl="5" w:tplc="3A0647F8">
      <w:numFmt w:val="bullet"/>
      <w:lvlText w:val="•"/>
      <w:lvlJc w:val="left"/>
      <w:pPr>
        <w:ind w:left="2151" w:hanging="292"/>
      </w:pPr>
      <w:rPr>
        <w:rFonts w:hint="default"/>
        <w:lang w:val="es-ES" w:eastAsia="en-US" w:bidi="ar-SA"/>
      </w:rPr>
    </w:lvl>
    <w:lvl w:ilvl="6" w:tplc="7F765FC6">
      <w:numFmt w:val="bullet"/>
      <w:lvlText w:val="•"/>
      <w:lvlJc w:val="left"/>
      <w:pPr>
        <w:ind w:left="2499" w:hanging="292"/>
      </w:pPr>
      <w:rPr>
        <w:rFonts w:hint="default"/>
        <w:lang w:val="es-ES" w:eastAsia="en-US" w:bidi="ar-SA"/>
      </w:rPr>
    </w:lvl>
    <w:lvl w:ilvl="7" w:tplc="BF5498BA">
      <w:numFmt w:val="bullet"/>
      <w:lvlText w:val="•"/>
      <w:lvlJc w:val="left"/>
      <w:pPr>
        <w:ind w:left="2847" w:hanging="292"/>
      </w:pPr>
      <w:rPr>
        <w:rFonts w:hint="default"/>
        <w:lang w:val="es-ES" w:eastAsia="en-US" w:bidi="ar-SA"/>
      </w:rPr>
    </w:lvl>
    <w:lvl w:ilvl="8" w:tplc="9FB69D4A">
      <w:numFmt w:val="bullet"/>
      <w:lvlText w:val="•"/>
      <w:lvlJc w:val="left"/>
      <w:pPr>
        <w:ind w:left="3194" w:hanging="292"/>
      </w:pPr>
      <w:rPr>
        <w:rFonts w:hint="default"/>
        <w:lang w:val="es-ES" w:eastAsia="en-US" w:bidi="ar-SA"/>
      </w:rPr>
    </w:lvl>
  </w:abstractNum>
  <w:abstractNum w:abstractNumId="6" w15:restartNumberingAfterBreak="0">
    <w:nsid w:val="6CDD22E0"/>
    <w:multiLevelType w:val="hybridMultilevel"/>
    <w:tmpl w:val="48EAA768"/>
    <w:lvl w:ilvl="0" w:tplc="BB7E60CC">
      <w:start w:val="1"/>
      <w:numFmt w:val="decimal"/>
      <w:lvlText w:val="%1."/>
      <w:lvlJc w:val="left"/>
      <w:pPr>
        <w:ind w:left="706" w:hanging="216"/>
        <w:jc w:val="left"/>
      </w:pPr>
      <w:rPr>
        <w:rFonts w:ascii="Calibri" w:eastAsia="Calibri" w:hAnsi="Calibri" w:cs="Calibri" w:hint="default"/>
        <w:w w:val="102"/>
        <w:sz w:val="13"/>
        <w:szCs w:val="13"/>
        <w:lang w:val="es-ES" w:eastAsia="en-US" w:bidi="ar-SA"/>
      </w:rPr>
    </w:lvl>
    <w:lvl w:ilvl="1" w:tplc="DA00E792">
      <w:numFmt w:val="bullet"/>
      <w:lvlText w:val="•"/>
      <w:lvlJc w:val="left"/>
      <w:pPr>
        <w:ind w:left="1219" w:hanging="216"/>
      </w:pPr>
      <w:rPr>
        <w:rFonts w:hint="default"/>
        <w:lang w:val="es-ES" w:eastAsia="en-US" w:bidi="ar-SA"/>
      </w:rPr>
    </w:lvl>
    <w:lvl w:ilvl="2" w:tplc="7376ED24">
      <w:numFmt w:val="bullet"/>
      <w:lvlText w:val="•"/>
      <w:lvlJc w:val="left"/>
      <w:pPr>
        <w:ind w:left="1739" w:hanging="216"/>
      </w:pPr>
      <w:rPr>
        <w:rFonts w:hint="default"/>
        <w:lang w:val="es-ES" w:eastAsia="en-US" w:bidi="ar-SA"/>
      </w:rPr>
    </w:lvl>
    <w:lvl w:ilvl="3" w:tplc="2DC44496">
      <w:numFmt w:val="bullet"/>
      <w:lvlText w:val="•"/>
      <w:lvlJc w:val="left"/>
      <w:pPr>
        <w:ind w:left="2259" w:hanging="216"/>
      </w:pPr>
      <w:rPr>
        <w:rFonts w:hint="default"/>
        <w:lang w:val="es-ES" w:eastAsia="en-US" w:bidi="ar-SA"/>
      </w:rPr>
    </w:lvl>
    <w:lvl w:ilvl="4" w:tplc="BB760EC4">
      <w:numFmt w:val="bullet"/>
      <w:lvlText w:val="•"/>
      <w:lvlJc w:val="left"/>
      <w:pPr>
        <w:ind w:left="2779" w:hanging="216"/>
      </w:pPr>
      <w:rPr>
        <w:rFonts w:hint="default"/>
        <w:lang w:val="es-ES" w:eastAsia="en-US" w:bidi="ar-SA"/>
      </w:rPr>
    </w:lvl>
    <w:lvl w:ilvl="5" w:tplc="D7464422">
      <w:numFmt w:val="bullet"/>
      <w:lvlText w:val="•"/>
      <w:lvlJc w:val="left"/>
      <w:pPr>
        <w:ind w:left="3299" w:hanging="216"/>
      </w:pPr>
      <w:rPr>
        <w:rFonts w:hint="default"/>
        <w:lang w:val="es-ES" w:eastAsia="en-US" w:bidi="ar-SA"/>
      </w:rPr>
    </w:lvl>
    <w:lvl w:ilvl="6" w:tplc="24427696">
      <w:numFmt w:val="bullet"/>
      <w:lvlText w:val="•"/>
      <w:lvlJc w:val="left"/>
      <w:pPr>
        <w:ind w:left="3819" w:hanging="216"/>
      </w:pPr>
      <w:rPr>
        <w:rFonts w:hint="default"/>
        <w:lang w:val="es-ES" w:eastAsia="en-US" w:bidi="ar-SA"/>
      </w:rPr>
    </w:lvl>
    <w:lvl w:ilvl="7" w:tplc="BC9E8E9E">
      <w:numFmt w:val="bullet"/>
      <w:lvlText w:val="•"/>
      <w:lvlJc w:val="left"/>
      <w:pPr>
        <w:ind w:left="4339" w:hanging="216"/>
      </w:pPr>
      <w:rPr>
        <w:rFonts w:hint="default"/>
        <w:lang w:val="es-ES" w:eastAsia="en-US" w:bidi="ar-SA"/>
      </w:rPr>
    </w:lvl>
    <w:lvl w:ilvl="8" w:tplc="E3B8BB18">
      <w:numFmt w:val="bullet"/>
      <w:lvlText w:val="•"/>
      <w:lvlJc w:val="left"/>
      <w:pPr>
        <w:ind w:left="4859" w:hanging="216"/>
      </w:pPr>
      <w:rPr>
        <w:rFonts w:hint="default"/>
        <w:lang w:val="es-ES" w:eastAsia="en-US" w:bidi="ar-SA"/>
      </w:rPr>
    </w:lvl>
  </w:abstractNum>
  <w:abstractNum w:abstractNumId="7" w15:restartNumberingAfterBreak="0">
    <w:nsid w:val="7A491765"/>
    <w:multiLevelType w:val="hybridMultilevel"/>
    <w:tmpl w:val="8AF0AABE"/>
    <w:lvl w:ilvl="0" w:tplc="B6DEF254">
      <w:start w:val="3"/>
      <w:numFmt w:val="decimal"/>
      <w:lvlText w:val="%1."/>
      <w:lvlJc w:val="left"/>
      <w:pPr>
        <w:ind w:left="647" w:hanging="292"/>
        <w:jc w:val="right"/>
      </w:pPr>
      <w:rPr>
        <w:rFonts w:ascii="Calibri" w:eastAsia="Calibri" w:hAnsi="Calibri" w:cs="Calibri" w:hint="default"/>
        <w:w w:val="99"/>
        <w:sz w:val="13"/>
        <w:szCs w:val="13"/>
        <w:lang w:val="es-ES" w:eastAsia="en-US" w:bidi="ar-SA"/>
      </w:rPr>
    </w:lvl>
    <w:lvl w:ilvl="1" w:tplc="2110B24E">
      <w:numFmt w:val="bullet"/>
      <w:lvlText w:val="•"/>
      <w:lvlJc w:val="left"/>
      <w:pPr>
        <w:ind w:left="1176" w:hanging="292"/>
      </w:pPr>
      <w:rPr>
        <w:rFonts w:hint="default"/>
        <w:lang w:val="es-ES" w:eastAsia="en-US" w:bidi="ar-SA"/>
      </w:rPr>
    </w:lvl>
    <w:lvl w:ilvl="2" w:tplc="D214FE0C">
      <w:numFmt w:val="bullet"/>
      <w:lvlText w:val="•"/>
      <w:lvlJc w:val="left"/>
      <w:pPr>
        <w:ind w:left="1713" w:hanging="292"/>
      </w:pPr>
      <w:rPr>
        <w:rFonts w:hint="default"/>
        <w:lang w:val="es-ES" w:eastAsia="en-US" w:bidi="ar-SA"/>
      </w:rPr>
    </w:lvl>
    <w:lvl w:ilvl="3" w:tplc="C150CD36">
      <w:numFmt w:val="bullet"/>
      <w:lvlText w:val="•"/>
      <w:lvlJc w:val="left"/>
      <w:pPr>
        <w:ind w:left="2250" w:hanging="292"/>
      </w:pPr>
      <w:rPr>
        <w:rFonts w:hint="default"/>
        <w:lang w:val="es-ES" w:eastAsia="en-US" w:bidi="ar-SA"/>
      </w:rPr>
    </w:lvl>
    <w:lvl w:ilvl="4" w:tplc="4D38D148">
      <w:numFmt w:val="bullet"/>
      <w:lvlText w:val="•"/>
      <w:lvlJc w:val="left"/>
      <w:pPr>
        <w:ind w:left="2787" w:hanging="292"/>
      </w:pPr>
      <w:rPr>
        <w:rFonts w:hint="default"/>
        <w:lang w:val="es-ES" w:eastAsia="en-US" w:bidi="ar-SA"/>
      </w:rPr>
    </w:lvl>
    <w:lvl w:ilvl="5" w:tplc="68E0CF12">
      <w:numFmt w:val="bullet"/>
      <w:lvlText w:val="•"/>
      <w:lvlJc w:val="left"/>
      <w:pPr>
        <w:ind w:left="3324" w:hanging="292"/>
      </w:pPr>
      <w:rPr>
        <w:rFonts w:hint="default"/>
        <w:lang w:val="es-ES" w:eastAsia="en-US" w:bidi="ar-SA"/>
      </w:rPr>
    </w:lvl>
    <w:lvl w:ilvl="6" w:tplc="98F0C0C0">
      <w:numFmt w:val="bullet"/>
      <w:lvlText w:val="•"/>
      <w:lvlJc w:val="left"/>
      <w:pPr>
        <w:ind w:left="3861" w:hanging="292"/>
      </w:pPr>
      <w:rPr>
        <w:rFonts w:hint="default"/>
        <w:lang w:val="es-ES" w:eastAsia="en-US" w:bidi="ar-SA"/>
      </w:rPr>
    </w:lvl>
    <w:lvl w:ilvl="7" w:tplc="3BC664D2">
      <w:numFmt w:val="bullet"/>
      <w:lvlText w:val="•"/>
      <w:lvlJc w:val="left"/>
      <w:pPr>
        <w:ind w:left="4398" w:hanging="292"/>
      </w:pPr>
      <w:rPr>
        <w:rFonts w:hint="default"/>
        <w:lang w:val="es-ES" w:eastAsia="en-US" w:bidi="ar-SA"/>
      </w:rPr>
    </w:lvl>
    <w:lvl w:ilvl="8" w:tplc="566AB888">
      <w:numFmt w:val="bullet"/>
      <w:lvlText w:val="•"/>
      <w:lvlJc w:val="left"/>
      <w:pPr>
        <w:ind w:left="4935" w:hanging="292"/>
      </w:pPr>
      <w:rPr>
        <w:rFonts w:hint="default"/>
        <w:lang w:val="es-ES" w:eastAsia="en-US" w:bidi="ar-SA"/>
      </w:rPr>
    </w:lvl>
  </w:abstractNum>
  <w:num w:numId="1" w16cid:durableId="253901448">
    <w:abstractNumId w:val="4"/>
  </w:num>
  <w:num w:numId="2" w16cid:durableId="1591043669">
    <w:abstractNumId w:val="6"/>
  </w:num>
  <w:num w:numId="3" w16cid:durableId="931083215">
    <w:abstractNumId w:val="1"/>
  </w:num>
  <w:num w:numId="4" w16cid:durableId="2022928410">
    <w:abstractNumId w:val="3"/>
  </w:num>
  <w:num w:numId="5" w16cid:durableId="1623461679">
    <w:abstractNumId w:val="2"/>
  </w:num>
  <w:num w:numId="6" w16cid:durableId="598492740">
    <w:abstractNumId w:val="7"/>
  </w:num>
  <w:num w:numId="7" w16cid:durableId="317267547">
    <w:abstractNumId w:val="0"/>
  </w:num>
  <w:num w:numId="8" w16cid:durableId="176903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030"/>
    <w:rsid w:val="00030553"/>
    <w:rsid w:val="001A3905"/>
    <w:rsid w:val="002F3F69"/>
    <w:rsid w:val="00344B48"/>
    <w:rsid w:val="004D0419"/>
    <w:rsid w:val="004D5C11"/>
    <w:rsid w:val="005A0CC2"/>
    <w:rsid w:val="00650DA6"/>
    <w:rsid w:val="00707745"/>
    <w:rsid w:val="0091086B"/>
    <w:rsid w:val="00933631"/>
    <w:rsid w:val="009738BE"/>
    <w:rsid w:val="009D1138"/>
    <w:rsid w:val="00A53F14"/>
    <w:rsid w:val="00D44030"/>
    <w:rsid w:val="00D632BF"/>
    <w:rsid w:val="00E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2D11A13"/>
  <w15:docId w15:val="{2BD0DCDE-00FA-754E-8971-19D77E8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8"/>
      <w:ind w:left="1439" w:right="12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7"/>
      <w:ind w:right="38"/>
      <w:jc w:val="right"/>
      <w:outlineLvl w:val="1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styleId="Ttulo3">
    <w:name w:val="heading 3"/>
    <w:basedOn w:val="Normal"/>
    <w:uiPriority w:val="9"/>
    <w:unhideWhenUsed/>
    <w:qFormat/>
    <w:pPr>
      <w:ind w:left="1313"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uiPriority w:val="9"/>
    <w:unhideWhenUsed/>
    <w:qFormat/>
    <w:pPr>
      <w:jc w:val="right"/>
      <w:outlineLvl w:val="3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tulo5">
    <w:name w:val="heading 5"/>
    <w:basedOn w:val="Normal"/>
    <w:uiPriority w:val="9"/>
    <w:unhideWhenUsed/>
    <w:qFormat/>
    <w:pPr>
      <w:ind w:left="1212"/>
      <w:jc w:val="center"/>
      <w:outlineLvl w:val="4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778" w:hanging="2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3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905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3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905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3981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Jair De Freitas</cp:lastModifiedBy>
  <cp:revision>17</cp:revision>
  <dcterms:created xsi:type="dcterms:W3CDTF">2022-03-29T21:21:00Z</dcterms:created>
  <dcterms:modified xsi:type="dcterms:W3CDTF">2022-03-29T22:10:00Z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2022-03-29T00:00:00Z</vt:filetime>
  </property>
</Properties>
</file>