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5A" w:rsidRDefault="0055005A" w:rsidP="0055005A">
      <w:pPr>
        <w:jc w:val="center"/>
      </w:pPr>
      <w:bookmarkStart w:id="0" w:name="_top"/>
      <w:bookmarkStart w:id="1" w:name="_GoBack"/>
      <w:bookmarkEnd w:id="0"/>
      <w:bookmarkEnd w:id="1"/>
      <w:r>
        <w:rPr>
          <w:noProof/>
          <w:lang w:eastAsia="es-VE"/>
        </w:rPr>
        <mc:AlternateContent>
          <mc:Choice Requires="wps">
            <w:drawing>
              <wp:anchor distT="0" distB="0" distL="114300" distR="114300" simplePos="0" relativeHeight="251672576" behindDoc="0" locked="0" layoutInCell="1" allowOverlap="1">
                <wp:simplePos x="0" y="0"/>
                <wp:positionH relativeFrom="column">
                  <wp:posOffset>5140960</wp:posOffset>
                </wp:positionH>
                <wp:positionV relativeFrom="paragraph">
                  <wp:posOffset>-486410</wp:posOffset>
                </wp:positionV>
                <wp:extent cx="821055" cy="866140"/>
                <wp:effectExtent l="0" t="3810" r="635" b="0"/>
                <wp:wrapNone/>
                <wp:docPr id="24" name="Cuadro de texto 2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866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05A" w:rsidRDefault="0055005A" w:rsidP="0055005A">
                            <w:pPr>
                              <w:rPr>
                                <w:lang w:val="es-ES"/>
                              </w:rPr>
                            </w:pPr>
                            <w:r>
                              <w:rPr>
                                <w:noProof/>
                                <w:lang w:eastAsia="es-VE"/>
                              </w:rPr>
                              <w:drawing>
                                <wp:inline distT="0" distB="0" distL="0" distR="0" wp14:anchorId="17D8D7EC" wp14:editId="74E0405D">
                                  <wp:extent cx="638175" cy="695325"/>
                                  <wp:effectExtent l="0" t="0" r="9525" b="9525"/>
                                  <wp:docPr id="23" name="Imagen 2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4" o:spid="_x0000_s1026" type="#_x0000_t202" href="#AAA" style="position:absolute;left:0;text-align:left;margin-left:404.8pt;margin-top:-38.3pt;width:64.65pt;height:68.2pt;z-index:25167257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" o:button="t" filled="f" stroked="f">
                <v:fill o:detectmouseclick="t"/>
                <v:textbox style="mso-fit-shape-to-text:t">
                  <w:txbxContent>
                    <w:p w:rsidR="0055005A" w:rsidRDefault="0055005A" w:rsidP="0055005A">
                      <w:pPr>
                        <w:rPr>
                          <w:lang w:val="es-ES"/>
                        </w:rPr>
                      </w:pPr>
                      <w:r>
                        <w:rPr>
                          <w:noProof/>
                          <w:lang w:eastAsia="es-VE"/>
                        </w:rPr>
                        <w:drawing>
                          <wp:inline distT="0" distB="0" distL="0" distR="0" wp14:anchorId="17D8D7EC" wp14:editId="74E0405D">
                            <wp:extent cx="638175" cy="695325"/>
                            <wp:effectExtent l="0" t="0" r="9525" b="9525"/>
                            <wp:docPr id="23" name="Imagen 2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v:textbox>
              </v:shape>
            </w:pict>
          </mc:Fallback>
        </mc:AlternateContent>
      </w:r>
      <w:r w:rsidR="008E2E75" w:rsidRPr="002F5DA6">
        <w:drawing>
          <wp:inline distT="0" distB="0" distL="0" distR="0" wp14:anchorId="084A3AD1" wp14:editId="22BF07E5">
            <wp:extent cx="5612130" cy="7638902"/>
            <wp:effectExtent l="0" t="0" r="7620" b="0"/>
            <wp:docPr id="148"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7638902"/>
                    </a:xfrm>
                    <a:prstGeom prst="rect">
                      <a:avLst/>
                    </a:prstGeom>
                    <a:noFill/>
                    <a:ln>
                      <a:noFill/>
                    </a:ln>
                  </pic:spPr>
                </pic:pic>
              </a:graphicData>
            </a:graphic>
          </wp:inline>
        </w:drawing>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690"/>
      </w:tblGrid>
      <w:tr w:rsidR="0055005A" w:rsidRPr="00B15361" w:rsidTr="00D67826">
        <w:trPr>
          <w:tblCellSpacing w:w="15" w:type="dxa"/>
          <w:jc w:val="center"/>
        </w:trPr>
        <w:tc>
          <w:tcPr>
            <w:tcW w:w="0" w:type="auto"/>
            <w:vAlign w:val="center"/>
          </w:tcPr>
          <w:p w:rsidR="0055005A" w:rsidRPr="00B15361" w:rsidRDefault="0055005A" w:rsidP="00D67826">
            <w:pPr>
              <w:rPr>
                <w:lang w:val="en-US"/>
              </w:rPr>
            </w:pPr>
            <w:bookmarkStart w:id="2" w:name="AAA"/>
            <w:r>
              <w:rPr>
                <w:noProof/>
                <w:lang w:eastAsia="es-VE"/>
              </w:rPr>
              <w:lastRenderedPageBreak/>
              <w:drawing>
                <wp:inline distT="0" distB="0" distL="0" distR="0">
                  <wp:extent cx="2286000" cy="2295525"/>
                  <wp:effectExtent l="0" t="0" r="0" b="9525"/>
                  <wp:docPr id="25" name="Imagen 25" descr="encabezadot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ncabezadots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295525"/>
                          </a:xfrm>
                          <a:prstGeom prst="rect">
                            <a:avLst/>
                          </a:prstGeom>
                          <a:noFill/>
                          <a:ln>
                            <a:noFill/>
                          </a:ln>
                        </pic:spPr>
                      </pic:pic>
                    </a:graphicData>
                  </a:graphic>
                </wp:inline>
              </w:drawing>
            </w:r>
            <w:bookmarkEnd w:id="2"/>
          </w:p>
        </w:tc>
      </w:tr>
    </w:tbl>
    <w:p w:rsidR="0055005A" w:rsidRPr="00B607A2" w:rsidRDefault="0055005A" w:rsidP="0055005A">
      <w:pPr>
        <w:spacing w:line="360" w:lineRule="auto"/>
        <w:jc w:val="center"/>
        <w:rPr>
          <w:rFonts w:ascii="Times New Roman" w:hAnsi="Times New Roman"/>
          <w:spacing w:val="20"/>
          <w:lang w:val="es-ES"/>
        </w:rPr>
      </w:pPr>
      <w:r w:rsidRPr="00B607A2">
        <w:rPr>
          <w:rFonts w:ascii="Times New Roman" w:hAnsi="Times New Roman"/>
          <w:lang w:val="es-ES"/>
        </w:rPr>
        <w:t>TRIBUNAL   SUPREMO   DE   JUSTICIA.   SALA   DE   CASACIÓN   SOCIAL</w:t>
      </w:r>
    </w:p>
    <w:p w:rsidR="0055005A" w:rsidRPr="00B15361" w:rsidRDefault="0055005A" w:rsidP="0055005A">
      <w:pPr>
        <w:spacing w:line="360" w:lineRule="auto"/>
        <w:jc w:val="center"/>
        <w:rPr>
          <w:rFonts w:ascii="Arial" w:hAnsi="Arial" w:cs="Arial"/>
          <w:spacing w:val="20"/>
          <w:lang w:val="es-ES"/>
        </w:rPr>
      </w:pPr>
      <w:r w:rsidRPr="00B607A2">
        <w:rPr>
          <w:rFonts w:ascii="Times New Roman" w:hAnsi="Times New Roman"/>
          <w:lang w:val="es-ES"/>
        </w:rPr>
        <w:t>Caracas, siete (7) de abril de 2011. Años: 200º y 152º</w:t>
      </w:r>
    </w:p>
    <w:p w:rsidR="0055005A" w:rsidRPr="00B15361" w:rsidRDefault="0055005A" w:rsidP="0055005A">
      <w:pPr>
        <w:spacing w:line="360" w:lineRule="auto"/>
        <w:ind w:firstLine="1134"/>
        <w:jc w:val="both"/>
        <w:rPr>
          <w:rFonts w:ascii="Arial" w:hAnsi="Arial" w:cs="Arial"/>
          <w:spacing w:val="20"/>
          <w:lang w:val="es-ES"/>
        </w:rPr>
      </w:pPr>
      <w:r w:rsidRPr="00B15361">
        <w:rPr>
          <w:lang w:val="es-ES"/>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MX"/>
        </w:rPr>
        <w:t>En el proceso de cobro de acreencias laborales, instaurado por el ciudadano</w:t>
      </w:r>
      <w:r w:rsidRPr="00B607A2">
        <w:rPr>
          <w:rFonts w:ascii="Times New Roman" w:hAnsi="Times New Roman"/>
          <w:b/>
          <w:bCs/>
          <w:sz w:val="24"/>
          <w:szCs w:val="24"/>
          <w:lang w:val="es-MX"/>
        </w:rPr>
        <w:t xml:space="preserve"> ELIÉCER DE JESÚS SILVA NAVAS</w:t>
      </w:r>
      <w:r w:rsidRPr="00B607A2">
        <w:rPr>
          <w:rFonts w:ascii="Times New Roman" w:hAnsi="Times New Roman"/>
          <w:sz w:val="24"/>
          <w:szCs w:val="24"/>
          <w:lang w:val="es-MX"/>
        </w:rPr>
        <w:t xml:space="preserve">, representado judicialmente por los abogados Manuel Márquez Castro, </w:t>
      </w:r>
      <w:proofErr w:type="spellStart"/>
      <w:r w:rsidRPr="00B607A2">
        <w:rPr>
          <w:rFonts w:ascii="Times New Roman" w:hAnsi="Times New Roman"/>
          <w:sz w:val="24"/>
          <w:szCs w:val="24"/>
          <w:lang w:val="es-MX"/>
        </w:rPr>
        <w:t>Elinei</w:t>
      </w:r>
      <w:proofErr w:type="spellEnd"/>
      <w:r w:rsidRPr="00B607A2">
        <w:rPr>
          <w:rFonts w:ascii="Times New Roman" w:hAnsi="Times New Roman"/>
          <w:sz w:val="24"/>
          <w:szCs w:val="24"/>
          <w:lang w:val="es-MX"/>
        </w:rPr>
        <w:t xml:space="preserve"> Silva Martínez, </w:t>
      </w:r>
      <w:proofErr w:type="spellStart"/>
      <w:r w:rsidRPr="00B607A2">
        <w:rPr>
          <w:rFonts w:ascii="Times New Roman" w:hAnsi="Times New Roman"/>
          <w:sz w:val="24"/>
          <w:szCs w:val="24"/>
          <w:lang w:val="es-MX"/>
        </w:rPr>
        <w:t>Sibeya</w:t>
      </w:r>
      <w:proofErr w:type="spellEnd"/>
      <w:r w:rsidRPr="00B607A2">
        <w:rPr>
          <w:rFonts w:ascii="Times New Roman" w:hAnsi="Times New Roman"/>
          <w:sz w:val="24"/>
          <w:szCs w:val="24"/>
          <w:lang w:val="es-MX"/>
        </w:rPr>
        <w:t xml:space="preserve"> </w:t>
      </w:r>
      <w:proofErr w:type="spellStart"/>
      <w:r w:rsidRPr="00B607A2">
        <w:rPr>
          <w:rFonts w:ascii="Times New Roman" w:hAnsi="Times New Roman"/>
          <w:sz w:val="24"/>
          <w:szCs w:val="24"/>
          <w:lang w:val="es-MX"/>
        </w:rPr>
        <w:t>Ibellice</w:t>
      </w:r>
      <w:proofErr w:type="spellEnd"/>
      <w:r w:rsidRPr="00B607A2">
        <w:rPr>
          <w:rFonts w:ascii="Times New Roman" w:hAnsi="Times New Roman"/>
          <w:sz w:val="24"/>
          <w:szCs w:val="24"/>
          <w:lang w:val="es-MX"/>
        </w:rPr>
        <w:t xml:space="preserve"> </w:t>
      </w:r>
      <w:proofErr w:type="spellStart"/>
      <w:r w:rsidRPr="00B607A2">
        <w:rPr>
          <w:rFonts w:ascii="Times New Roman" w:hAnsi="Times New Roman"/>
          <w:sz w:val="24"/>
          <w:szCs w:val="24"/>
          <w:lang w:val="es-MX"/>
        </w:rPr>
        <w:t>Gartner</w:t>
      </w:r>
      <w:proofErr w:type="spellEnd"/>
      <w:r w:rsidRPr="00B607A2">
        <w:rPr>
          <w:rFonts w:ascii="Times New Roman" w:hAnsi="Times New Roman"/>
          <w:sz w:val="24"/>
          <w:szCs w:val="24"/>
          <w:lang w:val="es-MX"/>
        </w:rPr>
        <w:t xml:space="preserve"> Álvarez y Nelson Alberto </w:t>
      </w:r>
      <w:proofErr w:type="spellStart"/>
      <w:r w:rsidRPr="00B607A2">
        <w:rPr>
          <w:rFonts w:ascii="Times New Roman" w:hAnsi="Times New Roman"/>
          <w:sz w:val="24"/>
          <w:szCs w:val="24"/>
          <w:lang w:val="es-MX"/>
        </w:rPr>
        <w:t>Osío</w:t>
      </w:r>
      <w:proofErr w:type="spellEnd"/>
      <w:r w:rsidRPr="00B607A2">
        <w:rPr>
          <w:rFonts w:ascii="Times New Roman" w:hAnsi="Times New Roman"/>
          <w:sz w:val="24"/>
          <w:szCs w:val="24"/>
          <w:lang w:val="es-MX"/>
        </w:rPr>
        <w:t xml:space="preserve"> Cruz, contra la sociedad mercantil </w:t>
      </w:r>
      <w:r w:rsidRPr="00B607A2">
        <w:rPr>
          <w:rFonts w:ascii="Times New Roman" w:hAnsi="Times New Roman"/>
          <w:b/>
          <w:bCs/>
          <w:sz w:val="24"/>
          <w:szCs w:val="24"/>
          <w:lang w:val="es-MX"/>
        </w:rPr>
        <w:t>PETRÓLEOS DE VENEZUELA</w:t>
      </w:r>
      <w:r w:rsidRPr="00B607A2">
        <w:rPr>
          <w:rFonts w:ascii="Times New Roman" w:hAnsi="Times New Roman"/>
          <w:sz w:val="24"/>
          <w:szCs w:val="24"/>
          <w:lang w:val="es-MX"/>
        </w:rPr>
        <w:t xml:space="preserve">, </w:t>
      </w:r>
      <w:r w:rsidRPr="00B607A2">
        <w:rPr>
          <w:rFonts w:ascii="Times New Roman" w:hAnsi="Times New Roman"/>
          <w:b/>
          <w:bCs/>
          <w:sz w:val="24"/>
          <w:szCs w:val="24"/>
          <w:lang w:val="es-MX"/>
        </w:rPr>
        <w:t>S</w:t>
      </w:r>
      <w:r w:rsidRPr="00B607A2">
        <w:rPr>
          <w:rFonts w:ascii="Times New Roman" w:hAnsi="Times New Roman"/>
          <w:sz w:val="24"/>
          <w:szCs w:val="24"/>
          <w:lang w:val="es-MX"/>
        </w:rPr>
        <w:t>.</w:t>
      </w:r>
      <w:r w:rsidRPr="00B607A2">
        <w:rPr>
          <w:rFonts w:ascii="Times New Roman" w:hAnsi="Times New Roman"/>
          <w:b/>
          <w:bCs/>
          <w:sz w:val="24"/>
          <w:szCs w:val="24"/>
          <w:lang w:val="es-MX"/>
        </w:rPr>
        <w:t>A</w:t>
      </w:r>
      <w:r w:rsidRPr="00B607A2">
        <w:rPr>
          <w:rFonts w:ascii="Times New Roman" w:hAnsi="Times New Roman"/>
          <w:sz w:val="24"/>
          <w:szCs w:val="24"/>
          <w:lang w:val="es-MX"/>
        </w:rPr>
        <w:t>. (</w:t>
      </w:r>
      <w:r w:rsidRPr="00B607A2">
        <w:rPr>
          <w:rFonts w:ascii="Times New Roman" w:hAnsi="Times New Roman"/>
          <w:b/>
          <w:bCs/>
          <w:sz w:val="24"/>
          <w:szCs w:val="24"/>
          <w:lang w:val="es-MX"/>
        </w:rPr>
        <w:t>PDVSA</w:t>
      </w:r>
      <w:r w:rsidRPr="00B607A2">
        <w:rPr>
          <w:rFonts w:ascii="Times New Roman" w:hAnsi="Times New Roman"/>
          <w:sz w:val="24"/>
          <w:szCs w:val="24"/>
          <w:lang w:val="es-MX"/>
        </w:rPr>
        <w:t xml:space="preserve">), representada en juicio por los abogados Rodolfo Porro </w:t>
      </w:r>
      <w:proofErr w:type="spellStart"/>
      <w:r w:rsidRPr="00B607A2">
        <w:rPr>
          <w:rFonts w:ascii="Times New Roman" w:hAnsi="Times New Roman"/>
          <w:sz w:val="24"/>
          <w:szCs w:val="24"/>
          <w:lang w:val="es-MX"/>
        </w:rPr>
        <w:t>Aletti</w:t>
      </w:r>
      <w:proofErr w:type="spellEnd"/>
      <w:r w:rsidRPr="00B607A2">
        <w:rPr>
          <w:rFonts w:ascii="Times New Roman" w:hAnsi="Times New Roman"/>
          <w:sz w:val="24"/>
          <w:szCs w:val="24"/>
          <w:lang w:val="es-MX"/>
        </w:rPr>
        <w:t xml:space="preserve">, </w:t>
      </w:r>
      <w:proofErr w:type="spellStart"/>
      <w:r w:rsidRPr="00B607A2">
        <w:rPr>
          <w:rFonts w:ascii="Times New Roman" w:hAnsi="Times New Roman"/>
          <w:sz w:val="24"/>
          <w:szCs w:val="24"/>
          <w:lang w:val="es-MX"/>
        </w:rPr>
        <w:t>Mazzino</w:t>
      </w:r>
      <w:proofErr w:type="spellEnd"/>
      <w:r w:rsidRPr="00B607A2">
        <w:rPr>
          <w:rFonts w:ascii="Times New Roman" w:hAnsi="Times New Roman"/>
          <w:sz w:val="24"/>
          <w:szCs w:val="24"/>
          <w:lang w:val="es-MX"/>
        </w:rPr>
        <w:t xml:space="preserve"> </w:t>
      </w:r>
      <w:proofErr w:type="spellStart"/>
      <w:r w:rsidRPr="00B607A2">
        <w:rPr>
          <w:rFonts w:ascii="Times New Roman" w:hAnsi="Times New Roman"/>
          <w:sz w:val="24"/>
          <w:szCs w:val="24"/>
          <w:lang w:val="es-MX"/>
        </w:rPr>
        <w:t>Valeri</w:t>
      </w:r>
      <w:proofErr w:type="spellEnd"/>
      <w:r w:rsidRPr="00B607A2">
        <w:rPr>
          <w:rFonts w:ascii="Times New Roman" w:hAnsi="Times New Roman"/>
          <w:sz w:val="24"/>
          <w:szCs w:val="24"/>
          <w:lang w:val="es-MX"/>
        </w:rPr>
        <w:t xml:space="preserve"> </w:t>
      </w:r>
      <w:proofErr w:type="spellStart"/>
      <w:r w:rsidRPr="00B607A2">
        <w:rPr>
          <w:rFonts w:ascii="Times New Roman" w:hAnsi="Times New Roman"/>
          <w:sz w:val="24"/>
          <w:szCs w:val="24"/>
          <w:lang w:val="es-MX"/>
        </w:rPr>
        <w:t>Rigual</w:t>
      </w:r>
      <w:proofErr w:type="spellEnd"/>
      <w:r w:rsidRPr="00B607A2">
        <w:rPr>
          <w:rFonts w:ascii="Times New Roman" w:hAnsi="Times New Roman"/>
          <w:sz w:val="24"/>
          <w:szCs w:val="24"/>
          <w:lang w:val="es-MX"/>
        </w:rPr>
        <w:t xml:space="preserve">, Pablo Paladino Mata, Verónica Palacio Hurtado, Natalie Aguilar Milano, </w:t>
      </w:r>
      <w:proofErr w:type="spellStart"/>
      <w:r w:rsidRPr="00B607A2">
        <w:rPr>
          <w:rFonts w:ascii="Times New Roman" w:hAnsi="Times New Roman"/>
          <w:sz w:val="24"/>
          <w:szCs w:val="24"/>
          <w:lang w:val="es-MX"/>
        </w:rPr>
        <w:t>Azzino</w:t>
      </w:r>
      <w:proofErr w:type="spellEnd"/>
      <w:r w:rsidRPr="00B607A2">
        <w:rPr>
          <w:rFonts w:ascii="Times New Roman" w:hAnsi="Times New Roman"/>
          <w:sz w:val="24"/>
          <w:szCs w:val="24"/>
          <w:lang w:val="es-MX"/>
        </w:rPr>
        <w:t xml:space="preserve"> </w:t>
      </w:r>
      <w:proofErr w:type="spellStart"/>
      <w:r w:rsidRPr="00B607A2">
        <w:rPr>
          <w:rFonts w:ascii="Times New Roman" w:hAnsi="Times New Roman"/>
          <w:sz w:val="24"/>
          <w:szCs w:val="24"/>
          <w:lang w:val="es-MX"/>
        </w:rPr>
        <w:t>Valeri</w:t>
      </w:r>
      <w:proofErr w:type="spellEnd"/>
      <w:r w:rsidRPr="00B607A2">
        <w:rPr>
          <w:rFonts w:ascii="Times New Roman" w:hAnsi="Times New Roman"/>
          <w:sz w:val="24"/>
          <w:szCs w:val="24"/>
          <w:lang w:val="es-MX"/>
        </w:rPr>
        <w:t xml:space="preserve"> </w:t>
      </w:r>
      <w:proofErr w:type="spellStart"/>
      <w:r w:rsidRPr="00B607A2">
        <w:rPr>
          <w:rFonts w:ascii="Times New Roman" w:hAnsi="Times New Roman"/>
          <w:sz w:val="24"/>
          <w:szCs w:val="24"/>
          <w:lang w:val="es-MX"/>
        </w:rPr>
        <w:t>Rigual</w:t>
      </w:r>
      <w:proofErr w:type="spellEnd"/>
      <w:r w:rsidRPr="00B607A2">
        <w:rPr>
          <w:rFonts w:ascii="Times New Roman" w:hAnsi="Times New Roman"/>
          <w:sz w:val="24"/>
          <w:szCs w:val="24"/>
          <w:lang w:val="es-MX"/>
        </w:rPr>
        <w:t xml:space="preserve">, </w:t>
      </w:r>
      <w:proofErr w:type="spellStart"/>
      <w:r w:rsidRPr="00B607A2">
        <w:rPr>
          <w:rFonts w:ascii="Times New Roman" w:hAnsi="Times New Roman"/>
          <w:sz w:val="24"/>
          <w:szCs w:val="24"/>
          <w:lang w:val="es-MX"/>
        </w:rPr>
        <w:t>Neyra</w:t>
      </w:r>
      <w:proofErr w:type="spellEnd"/>
      <w:r w:rsidRPr="00B607A2">
        <w:rPr>
          <w:rFonts w:ascii="Times New Roman" w:hAnsi="Times New Roman"/>
          <w:sz w:val="24"/>
          <w:szCs w:val="24"/>
          <w:lang w:val="es-MX"/>
        </w:rPr>
        <w:t xml:space="preserve"> Vanesa Mesa Serra y Francis Leonor González Silva; el Juzgado Superior Segundo del Trabajo de la Circunscripción Judicial del Área Metropolitana de Caracas, mediante sentencia de fecha 3 de julio de 2006, declaró sin lugar el recurso de apelación ejercido por el demandante y confirmó la decisión dictada el 17 de marzo de 2006 por el Juzgado Primero de Primera Instancia de Juicio del Trabajo de la referida Circunscripción Judicial, que declaró parcialmente con lugar la demanda.</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MX"/>
        </w:rPr>
        <w:t>Contra el fallo de alzada, el actor anunció recurso de casación y, ante la falta de pronunciamiento por parte del Juzgado Superior, el demandante interpuso recurso de hecho, el cual fue declarado improcedente por esta Sala de Casación Social, en sentencia N° 797 del 26 de abril de 2007.</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MX"/>
        </w:rPr>
        <w:lastRenderedPageBreak/>
        <w:t>El 27 de julio de 2010, la Sala Constitucional de este Tribunal Supremo de Justicia, declaró ha lugar la solicitud de revisión formulada contra la mencionada decisión de esta Sala, y ordenó al Juzgado Superior recabar el expediente a fin de pronunciarse de forma expresa sobre el recurso de casación anunciado por el demandante. En consecuencia, el 11 de noviembre de 2010, dicho Juzgado admitió el recurso ejercido.</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MX"/>
        </w:rPr>
        <w:t xml:space="preserve">Una vez recibidas las actas procesales por esta Sala, el 2 de diciembre de 2010 se dio cuenta y se designó ponente al Magistrado Luis Eduardo </w:t>
      </w:r>
      <w:proofErr w:type="spellStart"/>
      <w:r w:rsidRPr="00B607A2">
        <w:rPr>
          <w:rFonts w:ascii="Times New Roman" w:hAnsi="Times New Roman"/>
          <w:sz w:val="24"/>
          <w:szCs w:val="24"/>
          <w:lang w:val="es-MX"/>
        </w:rPr>
        <w:t>Franceschi</w:t>
      </w:r>
      <w:proofErr w:type="spellEnd"/>
      <w:r w:rsidRPr="00B607A2">
        <w:rPr>
          <w:rFonts w:ascii="Times New Roman" w:hAnsi="Times New Roman"/>
          <w:sz w:val="24"/>
          <w:szCs w:val="24"/>
          <w:lang w:val="es-MX"/>
        </w:rPr>
        <w:t xml:space="preserve"> Gutiérrez, quien con tal carácter suscribe el presente fallo.</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MX"/>
        </w:rPr>
        <w:t>El 7 de diciembre de 2010, el actor recurrente se dio por notificado de la admisión del recurso de casación y solicitó la notificación de la parte accionada; y el 11 de enero de 2011, consignó el escrito de formalización correspondiente.</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MX"/>
        </w:rPr>
        <w:t>En esta oportunidad procesal, procede esta Sala a pronunciarse acerca del pedimento formulado por el recurrente, en los términos siguientes:</w:t>
      </w:r>
    </w:p>
    <w:p w:rsidR="0055005A" w:rsidRPr="00B607A2" w:rsidRDefault="0055005A" w:rsidP="0055005A">
      <w:pPr>
        <w:spacing w:line="360" w:lineRule="auto"/>
        <w:ind w:firstLine="709"/>
        <w:jc w:val="both"/>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spacing w:line="360" w:lineRule="auto"/>
        <w:jc w:val="center"/>
        <w:rPr>
          <w:rFonts w:ascii="Times New Roman" w:hAnsi="Times New Roman"/>
          <w:spacing w:val="20"/>
          <w:sz w:val="24"/>
          <w:szCs w:val="24"/>
          <w:lang w:val="es-ES"/>
        </w:rPr>
      </w:pPr>
      <w:r w:rsidRPr="00B607A2">
        <w:rPr>
          <w:rFonts w:ascii="Times New Roman" w:hAnsi="Times New Roman"/>
          <w:b/>
          <w:bCs/>
          <w:sz w:val="24"/>
          <w:szCs w:val="24"/>
          <w:u w:val="single"/>
          <w:lang w:val="es-ES"/>
        </w:rPr>
        <w:t>ÚNICO</w:t>
      </w:r>
    </w:p>
    <w:p w:rsidR="0055005A" w:rsidRPr="00B607A2" w:rsidRDefault="0055005A" w:rsidP="0055005A">
      <w:pPr>
        <w:spacing w:line="360" w:lineRule="auto"/>
        <w:ind w:firstLine="720"/>
        <w:jc w:val="both"/>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En el asunto sometido al conocimiento de esta Sala, resulta menester determinar el estado procesal en que se encuentra la causa, a fin de garantizar la seguridad jurídica y el cabal ejercicio del derecho a la defensa de las partes procesales.</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xml:space="preserve">De la revisión del </w:t>
      </w:r>
      <w:proofErr w:type="spellStart"/>
      <w:r w:rsidRPr="00B607A2">
        <w:rPr>
          <w:rFonts w:ascii="Times New Roman" w:hAnsi="Times New Roman"/>
          <w:i/>
          <w:iCs/>
          <w:sz w:val="24"/>
          <w:szCs w:val="24"/>
          <w:lang w:val="es-ES"/>
        </w:rPr>
        <w:t>iter</w:t>
      </w:r>
      <w:proofErr w:type="spellEnd"/>
      <w:r w:rsidRPr="00B607A2">
        <w:rPr>
          <w:rFonts w:ascii="Times New Roman" w:hAnsi="Times New Roman"/>
          <w:i/>
          <w:iCs/>
          <w:sz w:val="24"/>
          <w:szCs w:val="24"/>
          <w:lang w:val="es-ES"/>
        </w:rPr>
        <w:t xml:space="preserve"> </w:t>
      </w:r>
      <w:r w:rsidRPr="00B607A2">
        <w:rPr>
          <w:rFonts w:ascii="Times New Roman" w:hAnsi="Times New Roman"/>
          <w:sz w:val="24"/>
          <w:szCs w:val="24"/>
          <w:lang w:val="es-ES"/>
        </w:rPr>
        <w:t xml:space="preserve">procedimental se observa que, los días 6 de julio y 22 de septiembre de 2006, el demandante anunció recurso de casación contra la sentencia de segunda instancia dictada el 3 de julio de ese mismo año; no obstante, visto que el juzgador </w:t>
      </w:r>
      <w:r w:rsidRPr="00B607A2">
        <w:rPr>
          <w:rFonts w:ascii="Times New Roman" w:hAnsi="Times New Roman"/>
          <w:i/>
          <w:iCs/>
          <w:sz w:val="24"/>
          <w:szCs w:val="24"/>
          <w:lang w:val="es-ES"/>
        </w:rPr>
        <w:t xml:space="preserve">ad </w:t>
      </w:r>
      <w:proofErr w:type="spellStart"/>
      <w:r w:rsidRPr="00B607A2">
        <w:rPr>
          <w:rFonts w:ascii="Times New Roman" w:hAnsi="Times New Roman"/>
          <w:i/>
          <w:iCs/>
          <w:sz w:val="24"/>
          <w:szCs w:val="24"/>
          <w:lang w:val="es-ES"/>
        </w:rPr>
        <w:t>quem</w:t>
      </w:r>
      <w:proofErr w:type="spellEnd"/>
      <w:r w:rsidRPr="00B607A2">
        <w:rPr>
          <w:rFonts w:ascii="Times New Roman" w:hAnsi="Times New Roman"/>
          <w:i/>
          <w:iCs/>
          <w:sz w:val="24"/>
          <w:szCs w:val="24"/>
          <w:lang w:val="es-ES"/>
        </w:rPr>
        <w:t xml:space="preserve"> </w:t>
      </w:r>
      <w:r w:rsidRPr="00B607A2">
        <w:rPr>
          <w:rFonts w:ascii="Times New Roman" w:hAnsi="Times New Roman"/>
          <w:sz w:val="24"/>
          <w:szCs w:val="24"/>
          <w:lang w:val="es-ES"/>
        </w:rPr>
        <w:t xml:space="preserve">no se pronunció de forma expresa sobre la admisión de dicho recurso, interpuso recurso de hecho, cuya improcedencia fue declarada por esta Sala en decisión del 26 de abril de 2007, la cual fue revisada posteriormente –el </w:t>
      </w:r>
      <w:r w:rsidRPr="00B607A2">
        <w:rPr>
          <w:rFonts w:ascii="Times New Roman" w:hAnsi="Times New Roman"/>
          <w:sz w:val="24"/>
          <w:szCs w:val="24"/>
          <w:lang w:val="es-ES"/>
        </w:rPr>
        <w:lastRenderedPageBreak/>
        <w:t>27 de julio de 2010– por la Sala Constitucional de este máximo Tribunal de la República, que ordenó al Juzgado Superior emitir un pronunciamiento expreso sobre el recurso de casación anunciado por el actor.</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Conforme a lo ordenado por la mencionada Sala Constitucional, el Juzgado Superior se pronunció sobre el referido medio de impugnación, el 11 de noviembre de 2010, admitiéndolo.</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xml:space="preserve">La situación descrita en los párrafos precedentes evidencia, por una parte, que la decisión emanada de la Sala Constitucional tuvo un efecto repositorio, al retrotraer la causa al estado en que el juez de alzada se pronunciara sobre el recurso de casación anunciado, lo cual daría lugar a la apertura de los lapsos legales sucesivos; pero también destaca la ruptura de la estadía a derecho de las partes procesales.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xml:space="preserve">Ciertamente, el artículo 7 de la ley adjetiva laboral consagra el principio de la notificación única, según el cual las partes quedan a derecho al practicarse la notificación para la audiencia preliminar, y sólo por excepción serán necesarias nuevas notificaciones, en los casos expresamente señalados en dicho cuerpo normativo. Ahora bien, la situación planteada en la causa </w:t>
      </w:r>
      <w:r w:rsidRPr="00B607A2">
        <w:rPr>
          <w:rFonts w:ascii="Times New Roman" w:hAnsi="Times New Roman"/>
          <w:i/>
          <w:iCs/>
          <w:sz w:val="24"/>
          <w:szCs w:val="24"/>
          <w:lang w:val="es-ES"/>
        </w:rPr>
        <w:t>sub iudice</w:t>
      </w:r>
      <w:r w:rsidRPr="00B607A2">
        <w:rPr>
          <w:rFonts w:ascii="Times New Roman" w:hAnsi="Times New Roman"/>
          <w:sz w:val="24"/>
          <w:szCs w:val="24"/>
          <w:lang w:val="es-ES"/>
        </w:rPr>
        <w:t xml:space="preserve"> escapa de las previsiones legales, porque atañe a la incidencia que tiene la revisión constitucional respecto del proceso en que fue proferida la sentencia objeto de revisión por parte de la Sala Constitucional. En este caso, al encontrarse el juicio paralizado por la inactividad de todos los sujetos procesales, sin lugar a dudas cesó la estadía de derecho de las partes, razón por la cual su reanudación amerita la notificación de éstas.</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xml:space="preserve">Conteste con lo anterior, esta Sala considera que, cuando el Juzgado Superior recabó el expediente, debió notificar a las partes del proceso a fin de la reanudación del mismo, para pronunciarse con posterioridad sobre el recurso de casación anunciado por el actor. Sin embargo, visto que el juez de alzada ya admitió el recurso interpuesto, resulta innecesario anular el auto de admisión para que notifique previamente a las partes, porque ello únicamente generaría mayores dilaciones en la causa, considerando además que tal omisión puede ser subsanada por esta Sala, al </w:t>
      </w:r>
      <w:r w:rsidRPr="00B607A2">
        <w:rPr>
          <w:rFonts w:ascii="Times New Roman" w:hAnsi="Times New Roman"/>
          <w:sz w:val="24"/>
          <w:szCs w:val="24"/>
          <w:lang w:val="es-ES"/>
        </w:rPr>
        <w:lastRenderedPageBreak/>
        <w:t>ordenar dicha notificación como requisito esencial para la continuación de la causa y, por lo tanto, para que comiencen a transcurrir los lapsos subsiguientes derivados de la admisión del recurso de casación, esto es, los lapsos de formalización y de impugnación del recurso, previstos en los artículos 171 y 172 de la Ley Orgánica Procesal del Trabajo.</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xml:space="preserve">En este orden de ideas, observa esta Sala que el actor recurrente se dio por notificado del auto de admisión emitido por el juzgador </w:t>
      </w:r>
      <w:r w:rsidRPr="00B607A2">
        <w:rPr>
          <w:rFonts w:ascii="Times New Roman" w:hAnsi="Times New Roman"/>
          <w:i/>
          <w:iCs/>
          <w:sz w:val="24"/>
          <w:szCs w:val="24"/>
          <w:lang w:val="es-ES"/>
        </w:rPr>
        <w:t xml:space="preserve">ad </w:t>
      </w:r>
      <w:proofErr w:type="spellStart"/>
      <w:r w:rsidRPr="00B607A2">
        <w:rPr>
          <w:rFonts w:ascii="Times New Roman" w:hAnsi="Times New Roman"/>
          <w:i/>
          <w:iCs/>
          <w:sz w:val="24"/>
          <w:szCs w:val="24"/>
          <w:lang w:val="es-ES"/>
        </w:rPr>
        <w:t>quem</w:t>
      </w:r>
      <w:proofErr w:type="spellEnd"/>
      <w:r w:rsidRPr="00B607A2">
        <w:rPr>
          <w:rFonts w:ascii="Times New Roman" w:hAnsi="Times New Roman"/>
          <w:sz w:val="24"/>
          <w:szCs w:val="24"/>
          <w:lang w:val="es-ES"/>
        </w:rPr>
        <w:t>, el 7 de diciembre de 2010, y el 11 de enero de 2011, consignó el escrito de formalización. En efecto, si el cómputo del lapso de formalización se inicia a partir de dicha notificación, el escrito correspondiente habría sido presentado tempestivamente; pero en ese caso, aún persistiría la incertidumbre acerca del lapso de impugnación, durante el cual la parte no recurrente puede ejercer su derecho a la defensa. Sin embargo, previamente se precisó que la causa no puede reanudarse de forma válida sin reconstituir la estadía a derecho de las partes; en el caso concreto, visto que el actor recurrente ya se dio por notificado, únicamente es necesario practicar la notificación de la empresa demandada.</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Ahora bien, como la pretensión se dirige contra Petróleos de Venezuela, S.A., y por lo tanto, la demanda que dio origen al juicio que se reanuda afecta los intereses patrimoniales de la República, también es necesario notificar a la Procuraduría General de la República, con la consecuente suspensión de la causa por un lapso de treinta (30) días, contados a partir de la fecha en que conste en autos dicha notificación, salvo que haya una renuncia expresa, conteste con lo establecido en el artículo 97 del Decreto de Ley Orgánica que rige las funciones del referido ente.</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Por último, se advierte que el demandante no sólo se dio por notificado del auto de admisión del recurso de casación por él ejercido, sino que además consignó el escrito de formalización correspondiente; por ello, y a fin de evitar mayores dilaciones procesales, esta Sala estima que, una vez notificada la parte accionada y transcurrida la suspensión de la causa después de la notificación a la Procuraduría General de la República –salvo renuncia expresa–, comenzará a transcurrir el lapso de veinte (20) días para la impugnación del recurso, contemplado en el artículo 172 de la Ley Orgánica Procesal del Trabajo.</w:t>
      </w:r>
    </w:p>
    <w:p w:rsidR="0055005A" w:rsidRPr="00B607A2" w:rsidRDefault="0055005A" w:rsidP="0055005A">
      <w:pPr>
        <w:spacing w:line="360" w:lineRule="auto"/>
        <w:ind w:firstLine="1134"/>
        <w:jc w:val="both"/>
        <w:rPr>
          <w:rFonts w:ascii="Times New Roman" w:hAnsi="Times New Roman"/>
          <w:sz w:val="24"/>
          <w:szCs w:val="24"/>
          <w:lang w:val="es-ES"/>
        </w:rPr>
      </w:pPr>
      <w:r w:rsidRPr="00B607A2">
        <w:rPr>
          <w:rFonts w:ascii="Times New Roman" w:hAnsi="Times New Roman"/>
          <w:sz w:val="24"/>
          <w:szCs w:val="24"/>
          <w:lang w:val="es-ES"/>
        </w:rPr>
        <w:lastRenderedPageBreak/>
        <w:t> </w:t>
      </w:r>
    </w:p>
    <w:p w:rsidR="0055005A" w:rsidRPr="00B607A2" w:rsidRDefault="0055005A" w:rsidP="0055005A">
      <w:pPr>
        <w:spacing w:line="360" w:lineRule="auto"/>
        <w:ind w:firstLine="1134"/>
        <w:jc w:val="both"/>
        <w:rPr>
          <w:rFonts w:ascii="Times New Roman" w:hAnsi="Times New Roman"/>
          <w:sz w:val="24"/>
          <w:szCs w:val="24"/>
          <w:lang w:val="es-ES"/>
        </w:rPr>
      </w:pPr>
      <w:r w:rsidRPr="00B607A2">
        <w:rPr>
          <w:rFonts w:ascii="Times New Roman" w:hAnsi="Times New Roman"/>
          <w:sz w:val="24"/>
          <w:szCs w:val="24"/>
          <w:lang w:val="es-ES"/>
        </w:rPr>
        <w:t>En consecuencia, se ordena a la Secretaría de esta Sala de Casación Social notificar de la admisión del recurso de casación, a la empresa demandada y a la Procuraduría General de la República para que, una vez que las mismas consten en autos y haya transcurrido el lapso de treinta (30) días de suspensión de la causa         –salvo renuncia por parte del mencionado ente–, ésta se reanude y comience a correr el lapso de impugnación del recurso de casación, por la parte no recurrente.</w:t>
      </w:r>
    </w:p>
    <w:p w:rsidR="0055005A" w:rsidRPr="00B607A2" w:rsidRDefault="0055005A" w:rsidP="0055005A">
      <w:pPr>
        <w:spacing w:line="276"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spacing w:line="360" w:lineRule="auto"/>
        <w:ind w:firstLine="1134"/>
        <w:jc w:val="both"/>
        <w:rPr>
          <w:rFonts w:ascii="Times New Roman" w:hAnsi="Times New Roman"/>
          <w:spacing w:val="20"/>
          <w:sz w:val="24"/>
          <w:szCs w:val="24"/>
          <w:lang w:val="es-ES"/>
        </w:rPr>
      </w:pPr>
      <w:r w:rsidRPr="00B607A2">
        <w:rPr>
          <w:rFonts w:ascii="Times New Roman" w:hAnsi="Times New Roman"/>
          <w:sz w:val="24"/>
          <w:szCs w:val="24"/>
          <w:lang w:val="es-ES"/>
        </w:rPr>
        <w:t>Publíquese y regístrese. Cúmplase lo ordenado.</w:t>
      </w:r>
    </w:p>
    <w:p w:rsidR="0055005A" w:rsidRPr="00B607A2" w:rsidRDefault="0055005A" w:rsidP="0055005A">
      <w:pPr>
        <w:ind w:firstLine="1134"/>
        <w:jc w:val="both"/>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El Presidente de la Sala,</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_____________________________</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OMAR ALFREDO MORA DÍAZ</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ES"/>
        </w:rPr>
        <w:t>El Vicepresidente y Ponente,                                        </w:t>
      </w:r>
      <w:r w:rsidRPr="00B607A2">
        <w:rPr>
          <w:rFonts w:ascii="Times New Roman" w:hAnsi="Times New Roman"/>
          <w:sz w:val="24"/>
          <w:szCs w:val="24"/>
          <w:lang w:val="es-MX"/>
        </w:rPr>
        <w:t>Magistrado,</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________________________________                        ________________________</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 xml:space="preserve">LUIS </w:t>
      </w:r>
      <w:r w:rsidRPr="00B607A2">
        <w:rPr>
          <w:rFonts w:ascii="Times New Roman" w:hAnsi="Times New Roman"/>
          <w:sz w:val="24"/>
          <w:szCs w:val="24"/>
          <w:lang w:val="es-ES"/>
        </w:rPr>
        <w:t>E. FRANCESCHI GUTIÉRREZ</w:t>
      </w:r>
      <w:r w:rsidRPr="00B607A2">
        <w:rPr>
          <w:rFonts w:ascii="Times New Roman" w:hAnsi="Times New Roman"/>
          <w:sz w:val="24"/>
          <w:szCs w:val="24"/>
        </w:rPr>
        <w:t xml:space="preserve">                             </w:t>
      </w:r>
      <w:r w:rsidRPr="00B607A2">
        <w:rPr>
          <w:rFonts w:ascii="Times New Roman" w:hAnsi="Times New Roman"/>
          <w:sz w:val="24"/>
          <w:szCs w:val="24"/>
          <w:lang w:val="es-MX"/>
        </w:rPr>
        <w:t>J</w:t>
      </w:r>
      <w:r w:rsidRPr="00B607A2">
        <w:rPr>
          <w:rFonts w:ascii="Times New Roman" w:hAnsi="Times New Roman"/>
          <w:sz w:val="24"/>
          <w:szCs w:val="24"/>
        </w:rPr>
        <w:t>UAN RAFAEL PERDOMO</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ES"/>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ES"/>
        </w:rPr>
        <w:t>Magistrado,                                                                             </w:t>
      </w:r>
      <w:r w:rsidRPr="00B607A2">
        <w:rPr>
          <w:rFonts w:ascii="Times New Roman" w:hAnsi="Times New Roman"/>
          <w:sz w:val="24"/>
          <w:szCs w:val="24"/>
          <w:lang w:val="es-MX"/>
        </w:rPr>
        <w:t>Magistrada,</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______________________________        __________________________________</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rPr>
        <w:t>AL</w:t>
      </w:r>
      <w:r w:rsidRPr="00B607A2">
        <w:rPr>
          <w:rFonts w:ascii="Times New Roman" w:hAnsi="Times New Roman"/>
          <w:sz w:val="24"/>
          <w:szCs w:val="24"/>
          <w:lang w:val="es-MX"/>
        </w:rPr>
        <w:t>FONSO VALBUENA CORDERO       CARMEN ELVIGIA PORRAS DE ROA</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El Secretario Temporal,</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lastRenderedPageBreak/>
        <w:t>_____________________________</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MARCOS ENRIQUE PAREDES</w:t>
      </w:r>
    </w:p>
    <w:p w:rsidR="0055005A" w:rsidRPr="00B607A2" w:rsidRDefault="0055005A" w:rsidP="0055005A">
      <w:pPr>
        <w:jc w:val="center"/>
        <w:rPr>
          <w:rFonts w:ascii="Times New Roman" w:hAnsi="Times New Roman"/>
          <w:spacing w:val="20"/>
          <w:sz w:val="24"/>
          <w:szCs w:val="24"/>
          <w:lang w:val="es-ES"/>
        </w:rPr>
      </w:pPr>
      <w:r w:rsidRPr="00B607A2">
        <w:rPr>
          <w:rFonts w:ascii="Times New Roman" w:hAnsi="Times New Roman"/>
          <w:sz w:val="24"/>
          <w:szCs w:val="24"/>
          <w:lang w:val="es-MX"/>
        </w:rPr>
        <w:t> </w:t>
      </w:r>
    </w:p>
    <w:p w:rsidR="0055005A" w:rsidRPr="00B607A2" w:rsidRDefault="0055005A" w:rsidP="0055005A">
      <w:pPr>
        <w:spacing w:line="360" w:lineRule="auto"/>
        <w:jc w:val="center"/>
        <w:rPr>
          <w:rFonts w:ascii="Times New Roman" w:hAnsi="Times New Roman"/>
          <w:spacing w:val="20"/>
          <w:sz w:val="24"/>
          <w:szCs w:val="24"/>
          <w:lang w:val="es-ES"/>
        </w:rPr>
      </w:pPr>
      <w:r w:rsidRPr="00B607A2">
        <w:rPr>
          <w:rFonts w:ascii="Times New Roman" w:hAnsi="Times New Roman"/>
          <w:b/>
          <w:bCs/>
          <w:sz w:val="24"/>
          <w:szCs w:val="24"/>
          <w:lang w:val="es-ES"/>
        </w:rPr>
        <w:t>R</w:t>
      </w:r>
      <w:r w:rsidRPr="00B607A2">
        <w:rPr>
          <w:rFonts w:ascii="Times New Roman" w:hAnsi="Times New Roman"/>
          <w:sz w:val="24"/>
          <w:szCs w:val="24"/>
          <w:lang w:val="es-ES"/>
        </w:rPr>
        <w:t>.</w:t>
      </w:r>
      <w:r w:rsidRPr="00B607A2">
        <w:rPr>
          <w:rFonts w:ascii="Times New Roman" w:hAnsi="Times New Roman"/>
          <w:b/>
          <w:bCs/>
          <w:sz w:val="24"/>
          <w:szCs w:val="24"/>
          <w:lang w:val="es-ES"/>
        </w:rPr>
        <w:t>C</w:t>
      </w:r>
      <w:r w:rsidRPr="00B607A2">
        <w:rPr>
          <w:rFonts w:ascii="Times New Roman" w:hAnsi="Times New Roman"/>
          <w:sz w:val="24"/>
          <w:szCs w:val="24"/>
          <w:lang w:val="es-ES"/>
        </w:rPr>
        <w:t>. N° AA60-S-2010-001503</w:t>
      </w:r>
    </w:p>
    <w:p w:rsidR="0055005A" w:rsidRPr="00B607A2" w:rsidRDefault="0055005A" w:rsidP="0055005A">
      <w:pPr>
        <w:spacing w:line="360" w:lineRule="auto"/>
        <w:jc w:val="center"/>
        <w:rPr>
          <w:rFonts w:ascii="Times New Roman" w:hAnsi="Times New Roman"/>
          <w:spacing w:val="20"/>
          <w:sz w:val="24"/>
          <w:szCs w:val="24"/>
          <w:lang w:val="es-ES"/>
        </w:rPr>
      </w:pPr>
      <w:r w:rsidRPr="00B607A2">
        <w:rPr>
          <w:rFonts w:ascii="Times New Roman" w:hAnsi="Times New Roman"/>
          <w:b/>
          <w:bCs/>
          <w:sz w:val="24"/>
          <w:szCs w:val="24"/>
          <w:lang w:val="es-ES"/>
        </w:rPr>
        <w:t>Nota</w:t>
      </w:r>
      <w:r w:rsidRPr="00B607A2">
        <w:rPr>
          <w:rFonts w:ascii="Times New Roman" w:hAnsi="Times New Roman"/>
          <w:sz w:val="24"/>
          <w:szCs w:val="24"/>
          <w:lang w:val="es-ES"/>
        </w:rPr>
        <w:t>: Publicada en su fecha a</w:t>
      </w:r>
    </w:p>
    <w:p w:rsidR="0055005A" w:rsidRPr="00B15361" w:rsidRDefault="0055005A" w:rsidP="00B607A2">
      <w:pPr>
        <w:spacing w:line="360" w:lineRule="auto"/>
        <w:rPr>
          <w:rFonts w:ascii="Arial" w:hAnsi="Arial" w:cs="Arial"/>
          <w:spacing w:val="20"/>
          <w:lang w:val="es-ES"/>
        </w:rPr>
      </w:pPr>
    </w:p>
    <w:p w:rsidR="0055005A" w:rsidRPr="00B15361" w:rsidRDefault="0055005A" w:rsidP="0055005A">
      <w:pPr>
        <w:spacing w:line="360" w:lineRule="auto"/>
        <w:jc w:val="center"/>
        <w:rPr>
          <w:rFonts w:ascii="Arial" w:hAnsi="Arial" w:cs="Arial"/>
          <w:spacing w:val="20"/>
          <w:lang w:val="es-ES"/>
        </w:rPr>
      </w:pPr>
      <w:r w:rsidRPr="00B15361">
        <w:rPr>
          <w:lang w:val="es-ES"/>
        </w:rPr>
        <w:t>El Secretario,</w:t>
      </w:r>
    </w:p>
    <w:p w:rsidR="0055005A" w:rsidRDefault="0055005A" w:rsidP="0055005A"/>
    <w:p w:rsidR="0055005A" w:rsidRDefault="0055005A" w:rsidP="0055005A">
      <w:pPr>
        <w:jc w:val="both"/>
        <w:rPr>
          <w:rFonts w:ascii="Arial" w:hAnsi="Arial" w:cs="Arial"/>
          <w:sz w:val="24"/>
          <w:szCs w:val="24"/>
        </w:rPr>
      </w:pPr>
    </w:p>
    <w:p w:rsidR="0055005A" w:rsidRDefault="0055005A" w:rsidP="0055005A">
      <w:pPr>
        <w:jc w:val="right"/>
        <w:rPr>
          <w:rFonts w:ascii="Arial" w:hAnsi="Arial" w:cs="Arial"/>
          <w:sz w:val="24"/>
          <w:szCs w:val="24"/>
        </w:rPr>
      </w:pPr>
      <w:r>
        <w:rPr>
          <w:noProof/>
          <w:lang w:eastAsia="es-VE"/>
        </w:rPr>
        <w:drawing>
          <wp:inline distT="0" distB="0" distL="0" distR="0" wp14:anchorId="38F50BB2" wp14:editId="2BCE729F">
            <wp:extent cx="609600" cy="742950"/>
            <wp:effectExtent l="0" t="0" r="0" b="0"/>
            <wp:docPr id="19" name="Imagen 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55005A" w:rsidRDefault="0055005A" w:rsidP="0055005A">
      <w:pPr>
        <w:jc w:val="both"/>
        <w:rPr>
          <w:rFonts w:ascii="Arial" w:hAnsi="Arial" w:cs="Arial"/>
          <w:sz w:val="24"/>
          <w:szCs w:val="24"/>
        </w:rPr>
      </w:pPr>
    </w:p>
    <w:p w:rsidR="0055005A" w:rsidRDefault="0055005A" w:rsidP="0055005A">
      <w:pPr>
        <w:jc w:val="both"/>
        <w:rPr>
          <w:rFonts w:ascii="Arial" w:hAnsi="Arial" w:cs="Arial"/>
          <w:sz w:val="24"/>
          <w:szCs w:val="24"/>
        </w:rPr>
      </w:pPr>
    </w:p>
    <w:p w:rsidR="0055005A"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55005A" w:rsidRPr="006D3F6F" w:rsidRDefault="0055005A" w:rsidP="0055005A">
      <w:pPr>
        <w:jc w:val="both"/>
        <w:rPr>
          <w:rFonts w:ascii="Arial" w:hAnsi="Arial" w:cs="Arial"/>
          <w:sz w:val="24"/>
          <w:szCs w:val="24"/>
        </w:rPr>
      </w:pPr>
    </w:p>
    <w:p w:rsidR="00D95C52" w:rsidRDefault="00D95C52"/>
    <w:sectPr w:rsidR="00D95C52" w:rsidSect="00CE1DA5">
      <w:pgSz w:w="12240" w:h="15840"/>
      <w:pgMar w:top="1417" w:right="104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5A"/>
    <w:rsid w:val="001A556B"/>
    <w:rsid w:val="004B0CF6"/>
    <w:rsid w:val="0055005A"/>
    <w:rsid w:val="008E2E75"/>
    <w:rsid w:val="00B607A2"/>
    <w:rsid w:val="00D95C52"/>
    <w:rsid w:val="00E64D1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9B4C1-0761-4457-8AEC-883A84A4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5A"/>
    <w:pPr>
      <w:spacing w:before="120"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005A"/>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05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AAA"/><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1394</Words>
  <Characters>7670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LOZANO</dc:creator>
  <cp:lastModifiedBy>ERICK LP</cp:lastModifiedBy>
  <cp:revision>4</cp:revision>
  <dcterms:created xsi:type="dcterms:W3CDTF">2013-04-26T14:33:00Z</dcterms:created>
  <dcterms:modified xsi:type="dcterms:W3CDTF">2013-10-17T02:19:00Z</dcterms:modified>
</cp:coreProperties>
</file>