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40F" w:rsidRDefault="00FA09C6" w:rsidP="00FA09C6">
      <w:pPr>
        <w:jc w:val="right"/>
      </w:pPr>
      <w:bookmarkStart w:id="0" w:name="_top"/>
      <w:bookmarkEnd w:id="0"/>
      <w:r>
        <w:rPr>
          <w:noProof/>
          <w:lang w:val="es-VE" w:eastAsia="es-VE"/>
        </w:rPr>
        <w:drawing>
          <wp:inline distT="0" distB="0" distL="0" distR="0" wp14:anchorId="388D12B7" wp14:editId="1713C9BB">
            <wp:extent cx="638175" cy="698500"/>
            <wp:effectExtent l="0" t="0" r="9525" b="6350"/>
            <wp:docPr id="23" name="Imagen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98500"/>
                    </a:xfrm>
                    <a:prstGeom prst="rect">
                      <a:avLst/>
                    </a:prstGeom>
                    <a:noFill/>
                    <a:ln>
                      <a:noFill/>
                    </a:ln>
                  </pic:spPr>
                </pic:pic>
              </a:graphicData>
            </a:graphic>
          </wp:inline>
        </w:drawing>
      </w:r>
      <w:bookmarkStart w:id="1" w:name="_GoBack"/>
      <w:r w:rsidRPr="001E49FB">
        <w:drawing>
          <wp:inline distT="0" distB="0" distL="0" distR="0" wp14:anchorId="059FE9A7" wp14:editId="62D34EA8">
            <wp:extent cx="5486400" cy="73723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372350"/>
                    </a:xfrm>
                    <a:prstGeom prst="rect">
                      <a:avLst/>
                    </a:prstGeom>
                    <a:noFill/>
                    <a:ln>
                      <a:noFill/>
                    </a:ln>
                  </pic:spPr>
                </pic:pic>
              </a:graphicData>
            </a:graphic>
          </wp:inline>
        </w:drawing>
      </w:r>
      <w:bookmarkEnd w:id="1"/>
    </w:p>
    <w:p w:rsidR="00E6540F" w:rsidRDefault="00E6540F"/>
    <w:tbl>
      <w:tblPr>
        <w:tblW w:w="0" w:type="auto"/>
        <w:tblBorders>
          <w:top w:val="nil"/>
          <w:left w:val="nil"/>
          <w:right w:val="nil"/>
        </w:tblBorders>
        <w:tblLayout w:type="fixed"/>
        <w:tblLook w:val="0000" w:firstRow="0" w:lastRow="0" w:firstColumn="0" w:lastColumn="0" w:noHBand="0" w:noVBand="0"/>
      </w:tblPr>
      <w:tblGrid>
        <w:gridCol w:w="8755"/>
      </w:tblGrid>
      <w:tr w:rsidR="00E6540F" w:rsidTr="00E6540F">
        <w:tc>
          <w:tcPr>
            <w:tcW w:w="8755" w:type="dxa"/>
            <w:tcMar>
              <w:top w:w="20" w:type="nil"/>
              <w:left w:w="20" w:type="nil"/>
              <w:bottom w:w="20" w:type="nil"/>
              <w:right w:w="20" w:type="nil"/>
            </w:tcMar>
            <w:vAlign w:val="center"/>
          </w:tcPr>
          <w:p w:rsidR="00E6540F" w:rsidRDefault="00E6540F" w:rsidP="00E6540F">
            <w:pPr>
              <w:widowControl w:val="0"/>
              <w:autoSpaceDE w:val="0"/>
              <w:autoSpaceDN w:val="0"/>
              <w:adjustRightInd w:val="0"/>
              <w:jc w:val="center"/>
              <w:rPr>
                <w:rFonts w:ascii="Times" w:hAnsi="Times" w:cs="Times"/>
                <w:sz w:val="32"/>
                <w:szCs w:val="32"/>
                <w:lang w:val="en-US"/>
              </w:rPr>
            </w:pPr>
            <w:r>
              <w:rPr>
                <w:rFonts w:ascii="Times" w:hAnsi="Times" w:cs="Times"/>
                <w:noProof/>
                <w:sz w:val="32"/>
                <w:szCs w:val="32"/>
                <w:lang w:val="es-VE" w:eastAsia="es-VE"/>
              </w:rPr>
              <w:drawing>
                <wp:inline distT="0" distB="0" distL="0" distR="0" wp14:anchorId="20319711" wp14:editId="297D3541">
                  <wp:extent cx="3048000" cy="306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060700"/>
                          </a:xfrm>
                          <a:prstGeom prst="rect">
                            <a:avLst/>
                          </a:prstGeom>
                          <a:noFill/>
                          <a:ln>
                            <a:noFill/>
                          </a:ln>
                        </pic:spPr>
                      </pic:pic>
                    </a:graphicData>
                  </a:graphic>
                </wp:inline>
              </w:drawing>
            </w:r>
          </w:p>
        </w:tc>
      </w:tr>
    </w:tbl>
    <w:p w:rsidR="00E6540F" w:rsidRPr="00FE1EB0" w:rsidRDefault="00E6540F" w:rsidP="00E6540F">
      <w:pPr>
        <w:widowControl w:val="0"/>
        <w:autoSpaceDE w:val="0"/>
        <w:autoSpaceDN w:val="0"/>
        <w:adjustRightInd w:val="0"/>
        <w:spacing w:after="480"/>
        <w:rPr>
          <w:rFonts w:ascii="Calibri" w:hAnsi="Calibri" w:cs="Calibri"/>
          <w:sz w:val="30"/>
          <w:szCs w:val="30"/>
          <w:lang w:val="es-VE"/>
        </w:rPr>
      </w:pPr>
      <w:r w:rsidRPr="00FE1EB0">
        <w:rPr>
          <w:rFonts w:ascii="Times New Roman" w:hAnsi="Times New Roman" w:cs="Times New Roman"/>
          <w:sz w:val="32"/>
          <w:szCs w:val="32"/>
          <w:lang w:val="es-VE"/>
        </w:rPr>
        <w:t> </w:t>
      </w:r>
      <w:bookmarkStart w:id="2" w:name="aaa"/>
      <w:bookmarkEnd w:id="2"/>
    </w:p>
    <w:p w:rsidR="00E6540F" w:rsidRPr="00FE1EB0" w:rsidRDefault="00E6540F" w:rsidP="00E6540F">
      <w:pPr>
        <w:widowControl w:val="0"/>
        <w:autoSpaceDE w:val="0"/>
        <w:autoSpaceDN w:val="0"/>
        <w:adjustRightInd w:val="0"/>
        <w:spacing w:after="480"/>
        <w:ind w:firstLine="740"/>
        <w:jc w:val="center"/>
        <w:rPr>
          <w:rFonts w:ascii="Calibri" w:hAnsi="Calibri" w:cs="Calibri"/>
          <w:sz w:val="30"/>
          <w:szCs w:val="30"/>
          <w:lang w:val="es-VE"/>
        </w:rPr>
      </w:pPr>
      <w:r w:rsidRPr="00FE1EB0">
        <w:rPr>
          <w:rFonts w:ascii="Times New Roman" w:hAnsi="Times New Roman" w:cs="Times New Roman"/>
          <w:sz w:val="32"/>
          <w:szCs w:val="32"/>
          <w:lang w:val="es-VE"/>
        </w:rPr>
        <w:t>Ponencia de la Magistrada Doctora SONIA COROMOTO ARIAS PALACIOS</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 xml:space="preserve">En el juicio que, por cobro de prestaciones sociales, sigue la ciudadana </w:t>
      </w:r>
      <w:r w:rsidRPr="00FE1EB0">
        <w:rPr>
          <w:rFonts w:ascii="Times New Roman" w:hAnsi="Times New Roman" w:cs="Times New Roman"/>
          <w:b/>
          <w:bCs/>
          <w:sz w:val="32"/>
          <w:szCs w:val="32"/>
          <w:lang w:val="es-VE"/>
        </w:rPr>
        <w:t>RAMONA JOSEFINA GARCÍA PÉREZ,</w:t>
      </w:r>
      <w:r w:rsidRPr="00FE1EB0">
        <w:rPr>
          <w:rFonts w:ascii="Times New Roman" w:hAnsi="Times New Roman" w:cs="Times New Roman"/>
          <w:sz w:val="32"/>
          <w:szCs w:val="32"/>
          <w:lang w:val="es-VE"/>
        </w:rPr>
        <w:t xml:space="preserve"> representada por los abogados Rosa Gregoria Chacón, Ángel Leonardo Fermín, Alejandra Fermín y Andrés Felipe Salazar Ruiz, contra las asociaciones civiles </w:t>
      </w:r>
      <w:r w:rsidRPr="00FE1EB0">
        <w:rPr>
          <w:rFonts w:ascii="Times New Roman" w:hAnsi="Times New Roman" w:cs="Times New Roman"/>
          <w:b/>
          <w:bCs/>
          <w:sz w:val="32"/>
          <w:szCs w:val="32"/>
          <w:lang w:val="es-VE"/>
        </w:rPr>
        <w:t xml:space="preserve">UNIDAD EDUCATIVA VARGAS </w:t>
      </w:r>
      <w:r w:rsidRPr="00FE1EB0">
        <w:rPr>
          <w:rFonts w:ascii="Times New Roman" w:hAnsi="Times New Roman" w:cs="Times New Roman"/>
          <w:sz w:val="32"/>
          <w:szCs w:val="32"/>
          <w:lang w:val="es-VE"/>
        </w:rPr>
        <w:t>y</w:t>
      </w:r>
      <w:r w:rsidRPr="00FE1EB0">
        <w:rPr>
          <w:rFonts w:ascii="Times New Roman" w:hAnsi="Times New Roman" w:cs="Times New Roman"/>
          <w:b/>
          <w:bCs/>
          <w:sz w:val="32"/>
          <w:szCs w:val="32"/>
          <w:lang w:val="es-VE"/>
        </w:rPr>
        <w:t xml:space="preserve"> UNIDAD EDUCATIVA JOSÉ MARÍA VARGAS, </w:t>
      </w:r>
      <w:r w:rsidRPr="00FE1EB0">
        <w:rPr>
          <w:rFonts w:ascii="Times New Roman" w:hAnsi="Times New Roman" w:cs="Times New Roman"/>
          <w:sz w:val="32"/>
          <w:szCs w:val="32"/>
          <w:lang w:val="es-VE"/>
        </w:rPr>
        <w:t>y contra los ciudadanos</w:t>
      </w:r>
      <w:r w:rsidRPr="00FE1EB0">
        <w:rPr>
          <w:rFonts w:ascii="Times New Roman" w:hAnsi="Times New Roman" w:cs="Times New Roman"/>
          <w:b/>
          <w:bCs/>
          <w:sz w:val="32"/>
          <w:szCs w:val="32"/>
          <w:lang w:val="es-VE"/>
        </w:rPr>
        <w:t xml:space="preserve"> JOSÉ ÁNGEL VARGAS MENDOZA, NÉLIDA MORENO y DANILO ANTONIO VARGAS, </w:t>
      </w:r>
      <w:r w:rsidRPr="00FE1EB0">
        <w:rPr>
          <w:rFonts w:ascii="Times New Roman" w:hAnsi="Times New Roman" w:cs="Times New Roman"/>
          <w:sz w:val="32"/>
          <w:szCs w:val="32"/>
          <w:lang w:val="es-VE"/>
        </w:rPr>
        <w:t>representados por</w:t>
      </w:r>
      <w:r w:rsidRPr="00FE1EB0">
        <w:rPr>
          <w:rFonts w:ascii="Times New Roman" w:hAnsi="Times New Roman" w:cs="Times New Roman"/>
          <w:b/>
          <w:bCs/>
          <w:sz w:val="32"/>
          <w:szCs w:val="32"/>
          <w:lang w:val="es-VE"/>
        </w:rPr>
        <w:t xml:space="preserve"> </w:t>
      </w:r>
      <w:r w:rsidRPr="00FE1EB0">
        <w:rPr>
          <w:rFonts w:ascii="Times New Roman" w:hAnsi="Times New Roman" w:cs="Times New Roman"/>
          <w:sz w:val="32"/>
          <w:szCs w:val="32"/>
          <w:lang w:val="es-VE"/>
        </w:rPr>
        <w:t xml:space="preserve">los abogados Carlos Hernández Acevedo y Armando José Bonalde García, el Juzgado Segundo Superior del Trabajo de la Circunscripción Judicial del Área Metropolitana de Caracas, conociendo por apelación de ambas partes, en sentencia publicada el 5 de octubre de 2010, declaró parcialmente con lugar la demanda modificando la decisión proferida por el </w:t>
      </w:r>
      <w:r w:rsidRPr="00FE1EB0">
        <w:rPr>
          <w:rFonts w:ascii="Times New Roman" w:hAnsi="Times New Roman" w:cs="Times New Roman"/>
          <w:i/>
          <w:iCs/>
          <w:sz w:val="32"/>
          <w:szCs w:val="32"/>
          <w:lang w:val="es-VE"/>
        </w:rPr>
        <w:t>a quo</w:t>
      </w:r>
      <w:r w:rsidRPr="00FE1EB0">
        <w:rPr>
          <w:rFonts w:ascii="Times New Roman" w:hAnsi="Times New Roman" w:cs="Times New Roman"/>
          <w:sz w:val="32"/>
          <w:szCs w:val="32"/>
          <w:lang w:val="es-VE"/>
        </w:rPr>
        <w:t xml:space="preserve">, de fecha 1° de julio de 2010, que declaró parcialmente con lugar la </w:t>
      </w:r>
      <w:r w:rsidRPr="00FE1EB0">
        <w:rPr>
          <w:rFonts w:ascii="Times New Roman" w:hAnsi="Times New Roman" w:cs="Times New Roman"/>
          <w:sz w:val="32"/>
          <w:szCs w:val="32"/>
          <w:lang w:val="es-VE"/>
        </w:rPr>
        <w:lastRenderedPageBreak/>
        <w:t>demanda.</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Contra esta decisión de Alzada, la codemandada Unidad Educativa José María Vargas anunció y formalizó oportunamente recurso de casación. Hubo contestación.</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En fecha 11 de noviembre de 2010, se dio cuenta en Sala, asignándose la ponencia al Magistrado Juan Rafael Perdomo.</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El 14 de enero de 2013 tomaron posesión de sus cargos los Magistrados Suplentes Octavio Sisco Ricciardi, Sonia Coromoto Arias Palacios y Carmen Esther Gómez Cabrera, los cuales fueron convocados por la Sala Plena de este Máximo Tribunal a los fines de cubrir las faltas absolutas de los Magistrados Omar Alfredo Mora Díaz, Juan Rafael Perdomo y Alfonso Valbuena Cordero, respectivamente, por lo que el 28 de enero de 2013 esta Sala de Casación Social ordena su incorporación.</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En virtud de ello, en la última fecha indicada se reasigna la ponencia de la presente causa a la Magistrada Sonia Coromoto Arias Palacios.  </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Cumplidas las formalidades legales con el nombramiento de ponente en la persona de la Magistrada quien con tal carácter suscribe, la celebración de la audiencia oral, pública y contradictoria y la emisión de la decisión inmediata contemplada en el encabezamiento del artículo 174 de la Ley Orgánica Procesal del Trabajo, pasa en esta oportunidad la Sala a reproducir y publicar la sentencia en los términos siguientes:</w:t>
      </w:r>
    </w:p>
    <w:p w:rsidR="00E6540F" w:rsidRPr="00FE1EB0" w:rsidRDefault="00E6540F" w:rsidP="00E6540F">
      <w:pPr>
        <w:widowControl w:val="0"/>
        <w:autoSpaceDE w:val="0"/>
        <w:autoSpaceDN w:val="0"/>
        <w:adjustRightInd w:val="0"/>
        <w:spacing w:after="160"/>
        <w:jc w:val="center"/>
        <w:rPr>
          <w:rFonts w:ascii="Calibri" w:hAnsi="Calibri" w:cs="Calibri"/>
          <w:sz w:val="30"/>
          <w:szCs w:val="30"/>
          <w:lang w:val="es-VE"/>
        </w:rPr>
      </w:pPr>
      <w:r w:rsidRPr="00FE1EB0">
        <w:rPr>
          <w:rFonts w:ascii="Times New Roman" w:hAnsi="Times New Roman" w:cs="Times New Roman"/>
          <w:b/>
          <w:bCs/>
          <w:sz w:val="32"/>
          <w:szCs w:val="32"/>
          <w:lang w:val="es-VE"/>
        </w:rPr>
        <w:t>PUNTO PREVIO</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Mediante diligencia, la parte actora solicitó la extinción de la instancia de conformidad con lo dispuesto en el artículo 201 de la Ley Orgánica Procesal del Trabajo, reiterando la solicitud en la audiencia celebrada con motivo del recurso de casación. </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lastRenderedPageBreak/>
        <w:t>En tal virtud, debe la Sala, antes de proceder al conocimiento del recurso de casación, pronunciarse sobre la mencionada solicitud, lo cual hace en los términos siguientes:</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La perención es un mecanismo diseñado con el propósito de evitar que los procesos se perpetúen en el tiempo y los órganos de administración de justicia deban procurar la composición de causas en las cuales no existe interés por parte de los sujetos procesales.</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En este sentido, el artículo 201 de la Ley Orgánica Procesal del Trabajo establece:</w:t>
      </w:r>
    </w:p>
    <w:p w:rsidR="00E6540F" w:rsidRPr="00FE1EB0" w:rsidRDefault="00E6540F" w:rsidP="00E6540F">
      <w:pPr>
        <w:widowControl w:val="0"/>
        <w:autoSpaceDE w:val="0"/>
        <w:autoSpaceDN w:val="0"/>
        <w:adjustRightInd w:val="0"/>
        <w:spacing w:after="160"/>
        <w:ind w:left="1880"/>
        <w:jc w:val="both"/>
        <w:rPr>
          <w:rFonts w:ascii="Calibri" w:hAnsi="Calibri" w:cs="Calibri"/>
          <w:sz w:val="30"/>
          <w:szCs w:val="30"/>
          <w:lang w:val="es-VE"/>
        </w:rPr>
      </w:pPr>
      <w:r w:rsidRPr="00FE1EB0">
        <w:rPr>
          <w:rFonts w:ascii="Times New Roman" w:hAnsi="Times New Roman" w:cs="Times New Roman"/>
          <w:b/>
          <w:bCs/>
          <w:sz w:val="32"/>
          <w:szCs w:val="32"/>
          <w:lang w:val="es-VE"/>
        </w:rPr>
        <w:t>Artículo 201.</w:t>
      </w:r>
      <w:r w:rsidRPr="00FE1EB0">
        <w:rPr>
          <w:rFonts w:ascii="Times New Roman" w:hAnsi="Times New Roman" w:cs="Times New Roman"/>
          <w:sz w:val="32"/>
          <w:szCs w:val="32"/>
          <w:lang w:val="es-VE"/>
        </w:rPr>
        <w:t xml:space="preserve"> Toda instancia se extingue de pleno derecho por el transcurso de un (1) año sin haberse ejecutado ningún acto de procedimiento por las partes. Igualmente en todas aquellas causas en donde haya transcurrido más de un (1) año después de vista la causa, sin que hubiere actividad alguna por las partes o el Juez, este último deberá declarar la perención.</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Según la disposición transcrita la instancia se extingue de pleno derecho cuando la causa se paraliza por más de un año por falta de interés procesal de las partes.</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 xml:space="preserve">Ahora, estando la causa en casación hay que atender al carácter extraordinario de este recurso y las normas que regulan su ejercicio. En este sentido, es menester aclarar que la casación no es una instancia, por ello no está sujeta a la disposición contenida en el citado artículo 201, sino que la inactividad de la parte recurrente está sujeta a lo dispuesto en el artículo 171 de la ley adjetiva laboral, el cual dispone que admitido el recurso de casación comenzará a correr, desde el día siguiente al vencimiento de los cinco (5) días que se dan para efectuar el anuncio, un lapso de veinte (20) días consecutivos más el término de la distancia, dentro del cual la parte o las partes recurrentes deberán consignar un escrito razonado, directamente ante la Sala de Casación Social </w:t>
      </w:r>
      <w:r w:rsidRPr="00FE1EB0">
        <w:rPr>
          <w:rFonts w:ascii="Times New Roman" w:hAnsi="Times New Roman" w:cs="Times New Roman"/>
          <w:sz w:val="32"/>
          <w:szCs w:val="32"/>
          <w:lang w:val="es-VE"/>
        </w:rPr>
        <w:lastRenderedPageBreak/>
        <w:t>del Tribunal Supremo de Justicia; y que será declarado perecido el recurso, cuando la formalización no se presente en el lapso a que se contrae este artículo o cuando el escrito no cumpla con los requisitos establecidos.</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De manera que, en casación la carga de la parte recurrente consiste en formalizar el recurso anunciado y admitido, y el incumplimiento de dicha carga acarrea que el recurso sea declarado perecido, de modo que formalizado el recurso la parte recurrente habrá cumplido con su carga y no habría posibilidad de que el recurso sea declarado perecido.</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 xml:space="preserve">Así las cosas, no es aplicable en casación la norma del artículo 201 de la ley adjetiva laboral sobre extinción de la instancia, pues no se trata de una instancia más, por ello el artículo 171 </w:t>
      </w:r>
      <w:r w:rsidRPr="00FE1EB0">
        <w:rPr>
          <w:rFonts w:ascii="Times New Roman" w:hAnsi="Times New Roman" w:cs="Times New Roman"/>
          <w:i/>
          <w:iCs/>
          <w:sz w:val="32"/>
          <w:szCs w:val="32"/>
          <w:lang w:val="es-VE"/>
        </w:rPr>
        <w:t>eiusdem</w:t>
      </w:r>
      <w:r w:rsidRPr="00FE1EB0">
        <w:rPr>
          <w:rFonts w:ascii="Times New Roman" w:hAnsi="Times New Roman" w:cs="Times New Roman"/>
          <w:sz w:val="32"/>
          <w:szCs w:val="32"/>
          <w:lang w:val="es-VE"/>
        </w:rPr>
        <w:t xml:space="preserve"> castiga la falta de interés de la parte recurrente con el perecimiento del recuso. En consecuencia, la solicitud de declaratoria de la extinción de la instancia se declara improcedente. Así se decide.  </w:t>
      </w:r>
    </w:p>
    <w:p w:rsidR="00E6540F" w:rsidRPr="00FE1EB0" w:rsidRDefault="00E6540F" w:rsidP="00E6540F">
      <w:pPr>
        <w:widowControl w:val="0"/>
        <w:autoSpaceDE w:val="0"/>
        <w:autoSpaceDN w:val="0"/>
        <w:adjustRightInd w:val="0"/>
        <w:spacing w:after="160"/>
        <w:jc w:val="center"/>
        <w:rPr>
          <w:rFonts w:ascii="Calibri" w:hAnsi="Calibri" w:cs="Calibri"/>
          <w:sz w:val="30"/>
          <w:szCs w:val="30"/>
          <w:lang w:val="es-VE"/>
        </w:rPr>
      </w:pPr>
      <w:r w:rsidRPr="00FE1EB0">
        <w:rPr>
          <w:rFonts w:ascii="Times New Roman" w:hAnsi="Times New Roman" w:cs="Times New Roman"/>
          <w:b/>
          <w:bCs/>
          <w:sz w:val="32"/>
          <w:szCs w:val="32"/>
          <w:lang w:val="es-VE"/>
        </w:rPr>
        <w:t>RECURSO DE CASACIÓN</w:t>
      </w:r>
    </w:p>
    <w:p w:rsidR="00E6540F" w:rsidRPr="00FE1EB0" w:rsidRDefault="00E6540F" w:rsidP="00E6540F">
      <w:pPr>
        <w:widowControl w:val="0"/>
        <w:autoSpaceDE w:val="0"/>
        <w:autoSpaceDN w:val="0"/>
        <w:adjustRightInd w:val="0"/>
        <w:spacing w:after="160"/>
        <w:jc w:val="center"/>
        <w:rPr>
          <w:rFonts w:ascii="Calibri" w:hAnsi="Calibri" w:cs="Calibri"/>
          <w:sz w:val="30"/>
          <w:szCs w:val="30"/>
          <w:lang w:val="es-VE"/>
        </w:rPr>
      </w:pPr>
      <w:r w:rsidRPr="00FE1EB0">
        <w:rPr>
          <w:rFonts w:ascii="Times New Roman" w:hAnsi="Times New Roman" w:cs="Times New Roman"/>
          <w:b/>
          <w:bCs/>
          <w:sz w:val="32"/>
          <w:szCs w:val="32"/>
          <w:lang w:val="es-VE"/>
        </w:rPr>
        <w:t>-I-</w:t>
      </w:r>
    </w:p>
    <w:p w:rsidR="00E6540F" w:rsidRPr="004C5FCF"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Con fundamento en el ordinal 2° del artículo 168 de la Ley Orgánica Procesal del Trabajo, denunció el formalizante la infracción de los artículos 61 y 64 de la Ley Orgánica del Trabajo, por error de interpretación.</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 Alega la parte recurrente que la recurrida desechó todas las pruebas aportadas por la parte actora; que siendo así, no existe en autos prueba alguna que demuestre que la relación de trabajo haya terminado el 8 de enero de 2007; que tampoco existe prueba alguna que demuestre la interrupción de la prescripción de la acción; que en razón de ello la recurrida ha debido declarar la prescripción de la acción.</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Para decidir la Sala observa:</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lastRenderedPageBreak/>
        <w:t>El error de interpretación en cuanto al contenido y alcance de una norma, se comete al determinar los casos abstractos que puede abarcar su supuesto, dicho de otra manera, es el error que se comete al entender el supuesto de hecho de la norma y no su conclusión, el error se produce no porque se hayan establecido mal los hechos o porque se haya incurrido en error al calificarlos, sino porque el supuesto de hecho abstracto se interpretó mal, haciendo incluir en él casos no regulados por la norma.</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No se debe confundir la aplicación de una norma inadecuada como resultado de un error de interpretación, con la falsa aplicación de una  norma que es consecuencia de un error en la calificación de los hechos, de la valoración jurídica que realiza el juez como resultado de la comparación entre los hechos y el supuesto de hecho de la norma. Esta distinción tiene gran importancia para determinar los límites de la casación, los casos de errores de interpretación la Sala siempre podrá resolverlos, en cambio, está impedida, en principio,  de conocer sobre la apreciación de los hechos, sólo si se realiza la adecuada denuncia podrá excepcionalmente conocer de ello.</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En este sentido, del análisis de la formalización se desprende que lo realmente delatado no es un error de interpretación, pues sus argumentos están dirigidos más bien a cuestionar, pero sin la técnica adecuada, la apreciación de los hechos realizada por la recurrida, lo cual resulta suficiente para desechar la denuncia. Sin embargo, la Sala, extremando su examen, observa que sobre la defensa de prescripción la recurrida estableció textualmente:</w:t>
      </w:r>
    </w:p>
    <w:p w:rsidR="00E6540F" w:rsidRPr="00FE1EB0" w:rsidRDefault="00E6540F" w:rsidP="00E6540F">
      <w:pPr>
        <w:widowControl w:val="0"/>
        <w:autoSpaceDE w:val="0"/>
        <w:autoSpaceDN w:val="0"/>
        <w:adjustRightInd w:val="0"/>
        <w:spacing w:after="160"/>
        <w:ind w:left="1880"/>
        <w:jc w:val="both"/>
        <w:rPr>
          <w:rFonts w:ascii="Calibri" w:hAnsi="Calibri" w:cs="Calibri"/>
          <w:sz w:val="30"/>
          <w:szCs w:val="30"/>
          <w:lang w:val="es-VE"/>
        </w:rPr>
      </w:pPr>
      <w:r w:rsidRPr="00FE1EB0">
        <w:rPr>
          <w:rFonts w:ascii="Times New Roman" w:hAnsi="Times New Roman" w:cs="Times New Roman"/>
          <w:sz w:val="32"/>
          <w:szCs w:val="32"/>
          <w:lang w:val="es-VE"/>
        </w:rPr>
        <w:t xml:space="preserve">3.- En el caso de autos, tenemos que forma parte de la controversia la fecha de terminación de la relación de trabajo, la cual resulta necesaria (sic) resolver, para decidir la defensa de prescripción opuesta, al respecto se observa que la parte actora señala en su escrito libelar, haber sido despedida en </w:t>
      </w:r>
      <w:r w:rsidRPr="00FE1EB0">
        <w:rPr>
          <w:rFonts w:ascii="Times New Roman" w:hAnsi="Times New Roman" w:cs="Times New Roman"/>
          <w:sz w:val="32"/>
          <w:szCs w:val="32"/>
          <w:lang w:val="es-VE"/>
        </w:rPr>
        <w:lastRenderedPageBreak/>
        <w:t>forma injustificada el día 08 de enero de 2001, por su parte, la representación judicial de la parte demandada negó tal afirmación, señalando que la actora renunció a su cargo en fecha 15 de agosto de 2005, por lo que la carga probatoria le correspondió a la parte demandada, tal y como ha quedado establecido por este Tribunal, en este sentido se observa:</w:t>
      </w:r>
    </w:p>
    <w:p w:rsidR="00E6540F" w:rsidRPr="00FE1EB0" w:rsidRDefault="00E6540F" w:rsidP="00E6540F">
      <w:pPr>
        <w:widowControl w:val="0"/>
        <w:autoSpaceDE w:val="0"/>
        <w:autoSpaceDN w:val="0"/>
        <w:adjustRightInd w:val="0"/>
        <w:spacing w:after="160"/>
        <w:ind w:left="1880"/>
        <w:jc w:val="both"/>
        <w:rPr>
          <w:rFonts w:ascii="Calibri" w:hAnsi="Calibri" w:cs="Calibri"/>
          <w:sz w:val="30"/>
          <w:szCs w:val="30"/>
          <w:lang w:val="es-VE"/>
        </w:rPr>
      </w:pPr>
      <w:r w:rsidRPr="00FE1EB0">
        <w:rPr>
          <w:rFonts w:ascii="Times New Roman" w:hAnsi="Times New Roman" w:cs="Times New Roman"/>
          <w:sz w:val="32"/>
          <w:szCs w:val="32"/>
          <w:lang w:val="es-VE"/>
        </w:rPr>
        <w:t>4.- La parte demandada, a los fines de demostrar su defensa, con relación a la fecha de terminación alegada en su contestación, consignó documental marcada con la letra “D”, constante de un folio útil, original de carta de renuncia de fecha 15 de agosto de 2005, la cual fue desconocida por la parte actora durante el desarrollo de la audiencia de juicio, y como quiera que la parte demandada no logró demostrar su autenticidad, tal y como quedó establecido por este Tribunal, no se le confirió valor probatorio, siendo ello así, y en virtud de no constar en autos prueba alguna que lleve a concluir a este juzgador (sic) que ciertamente la accionante renunció a su cargo en fecha 15 de agosto de 2005, tal y como lo manifestó la parte demandada, este Tribunal al igual que el a quo, (sic) deja establecido en el caso de autos que la relación de trabajo terminó por despido injustificado en fecha 08 de enero de 2007, tal y como lo adujo la parte actora en su escrito libelar.</w:t>
      </w:r>
    </w:p>
    <w:p w:rsidR="00E6540F" w:rsidRPr="00FE1EB0" w:rsidRDefault="00E6540F" w:rsidP="00E6540F">
      <w:pPr>
        <w:widowControl w:val="0"/>
        <w:autoSpaceDE w:val="0"/>
        <w:autoSpaceDN w:val="0"/>
        <w:adjustRightInd w:val="0"/>
        <w:spacing w:after="160"/>
        <w:ind w:left="1880"/>
        <w:jc w:val="both"/>
        <w:rPr>
          <w:rFonts w:ascii="Calibri" w:hAnsi="Calibri" w:cs="Calibri"/>
          <w:sz w:val="30"/>
          <w:szCs w:val="30"/>
          <w:lang w:val="es-VE"/>
        </w:rPr>
      </w:pPr>
      <w:r w:rsidRPr="00FE1EB0">
        <w:rPr>
          <w:rFonts w:ascii="Times New Roman" w:hAnsi="Times New Roman" w:cs="Times New Roman"/>
          <w:sz w:val="32"/>
          <w:szCs w:val="32"/>
          <w:lang w:val="es-VE"/>
        </w:rPr>
        <w:t xml:space="preserve">5.- Ahora bien, por otra parte, aduce la parte demandante (sic) en su escrito de contestación que la relación que sostuvo con la accionante, fue mediante dos (2) relaciones laborales, la primera, culminó el 30 de julio de 1995; y la segunda, aduce que se inició en fecha 15 de agosto de 1996. En este </w:t>
      </w:r>
      <w:r w:rsidRPr="00FE1EB0">
        <w:rPr>
          <w:rFonts w:ascii="Times New Roman" w:hAnsi="Times New Roman" w:cs="Times New Roman"/>
          <w:sz w:val="32"/>
          <w:szCs w:val="32"/>
          <w:lang w:val="es-VE"/>
        </w:rPr>
        <w:lastRenderedPageBreak/>
        <w:t>sentido, tal y como lo ha mencionado este Tribunal le correspondía a la parte demandada la carga de demostrara tal afirmación, y de las pruebas aportadas a los autos se observa, que la parte demandada no logró demostrar las dos relaciones laborales que adujó (sic) existieron con la parte actora, es decir, no se evidencia de autos la interrupción de una relación laboral con la otra, motivo por el cual deja establecido este sentenciador (sic) al igual que el Tribunal a quo, (sic) que la relación laboral que sostuvo la accionante con la demandada fue de manera ininterrumpida desde el 01 de octubre de 1990 hasta 08 de enero de 2007, tal como lo señala la accionante en su escrito libelar.</w:t>
      </w:r>
    </w:p>
    <w:p w:rsidR="00E6540F" w:rsidRPr="00FE1EB0" w:rsidRDefault="00E6540F" w:rsidP="00E6540F">
      <w:pPr>
        <w:widowControl w:val="0"/>
        <w:autoSpaceDE w:val="0"/>
        <w:autoSpaceDN w:val="0"/>
        <w:adjustRightInd w:val="0"/>
        <w:spacing w:after="160"/>
        <w:ind w:left="1880"/>
        <w:jc w:val="both"/>
        <w:rPr>
          <w:rFonts w:ascii="Calibri" w:hAnsi="Calibri" w:cs="Calibri"/>
          <w:sz w:val="30"/>
          <w:szCs w:val="30"/>
          <w:lang w:val="es-VE"/>
        </w:rPr>
      </w:pPr>
      <w:r w:rsidRPr="00FE1EB0">
        <w:rPr>
          <w:rFonts w:ascii="Times New Roman" w:hAnsi="Times New Roman" w:cs="Times New Roman"/>
          <w:sz w:val="32"/>
          <w:szCs w:val="32"/>
          <w:lang w:val="es-VE"/>
        </w:rPr>
        <w:t>En ese sentido, tomando en consideración que la relación de trabajo entre las partes culminó el 08 de enero de 2007, tenemos que el lapso de prescripción previsto en el artículo 61 de la Ley Orgánica del Trabajo, culminó el 08 de enero de 2008.</w:t>
      </w:r>
    </w:p>
    <w:p w:rsidR="00E6540F" w:rsidRPr="00FA09C6" w:rsidRDefault="00E6540F" w:rsidP="00E6540F">
      <w:pPr>
        <w:widowControl w:val="0"/>
        <w:autoSpaceDE w:val="0"/>
        <w:autoSpaceDN w:val="0"/>
        <w:adjustRightInd w:val="0"/>
        <w:spacing w:after="160"/>
        <w:ind w:left="1880"/>
        <w:jc w:val="both"/>
        <w:rPr>
          <w:rFonts w:ascii="Calibri" w:hAnsi="Calibri" w:cs="Calibri"/>
          <w:sz w:val="30"/>
          <w:szCs w:val="30"/>
          <w:lang w:val="es-VE"/>
        </w:rPr>
      </w:pPr>
      <w:r w:rsidRPr="00FE1EB0">
        <w:rPr>
          <w:rFonts w:ascii="Times New Roman" w:hAnsi="Times New Roman" w:cs="Times New Roman"/>
          <w:sz w:val="32"/>
          <w:szCs w:val="32"/>
          <w:lang w:val="es-VE"/>
        </w:rPr>
        <w:t xml:space="preserve">6.- En el presente caso, se observa que la parte actora dio origen al presente juicio, en fecha 18 de diciembre de 2007, es decir, dentro del lapso previsto en el citado artículo 61, observándose que la secretaria (sic) del Tribunal certificó la notificación de la parte demandada en el presente juicio, en fecha 21 de febrero de 2008 (folio 88 del expediente), es decir, dentro de los dos (2) meses siguientes al vencimiento del lapso de prescripción, los cuales vencían el 08 de marzo de 2008, constituyendo tal circunstancia, un acto interruptivo de la prescripción, conforme a lo previsto en el artículo 64, literal “a” de la Ley Orgánica del Trabajo; motivo por el cual se declara </w:t>
      </w:r>
      <w:r w:rsidRPr="00FE1EB0">
        <w:rPr>
          <w:rFonts w:ascii="Times New Roman" w:hAnsi="Times New Roman" w:cs="Times New Roman"/>
          <w:b/>
          <w:bCs/>
          <w:sz w:val="32"/>
          <w:szCs w:val="32"/>
          <w:lang w:val="es-VE"/>
        </w:rPr>
        <w:t>SIN LUGAR</w:t>
      </w:r>
      <w:r w:rsidRPr="00FE1EB0">
        <w:rPr>
          <w:rFonts w:ascii="Times New Roman" w:hAnsi="Times New Roman" w:cs="Times New Roman"/>
          <w:sz w:val="32"/>
          <w:szCs w:val="32"/>
          <w:lang w:val="es-VE"/>
        </w:rPr>
        <w:t xml:space="preserve"> la defensa de prescripción de la acción alegada por </w:t>
      </w:r>
      <w:r w:rsidRPr="00FE1EB0">
        <w:rPr>
          <w:rFonts w:ascii="Times New Roman" w:hAnsi="Times New Roman" w:cs="Times New Roman"/>
          <w:sz w:val="32"/>
          <w:szCs w:val="32"/>
          <w:lang w:val="es-VE"/>
        </w:rPr>
        <w:lastRenderedPageBreak/>
        <w:t xml:space="preserve">la representación judicial de la parte demandada, tal y como lo condenó la sentencia objeto del presente recurso. </w:t>
      </w:r>
      <w:r w:rsidRPr="00FA09C6">
        <w:rPr>
          <w:rFonts w:ascii="Times New Roman" w:hAnsi="Times New Roman" w:cs="Times New Roman"/>
          <w:sz w:val="32"/>
          <w:szCs w:val="32"/>
          <w:lang w:val="es-VE"/>
        </w:rPr>
        <w:t>Así se establece.            </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De la transcripción se infiere con claridad que la recurrida, en uso de su soberana apreciación, estableció adecuadamente los hechos, e interpretó y  aplicó correctamente los artículos 61 y 64 de la Ley Orgánica del Trabajo.  </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Por lo precedentemente expuesto, la denuncia se declara improcedente. Así se decide.</w:t>
      </w:r>
    </w:p>
    <w:p w:rsidR="00E6540F" w:rsidRPr="00FE1EB0" w:rsidRDefault="00E6540F" w:rsidP="00E6540F">
      <w:pPr>
        <w:widowControl w:val="0"/>
        <w:autoSpaceDE w:val="0"/>
        <w:autoSpaceDN w:val="0"/>
        <w:adjustRightInd w:val="0"/>
        <w:spacing w:after="160"/>
        <w:jc w:val="center"/>
        <w:rPr>
          <w:rFonts w:ascii="Calibri" w:hAnsi="Calibri" w:cs="Calibri"/>
          <w:sz w:val="30"/>
          <w:szCs w:val="30"/>
          <w:lang w:val="es-VE"/>
        </w:rPr>
      </w:pPr>
      <w:r w:rsidRPr="00FE1EB0">
        <w:rPr>
          <w:rFonts w:ascii="Times New Roman" w:hAnsi="Times New Roman" w:cs="Times New Roman"/>
          <w:b/>
          <w:bCs/>
          <w:sz w:val="32"/>
          <w:szCs w:val="32"/>
          <w:lang w:val="es-VE"/>
        </w:rPr>
        <w:t>-II-</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Con fundamento en el ordinal 3° del artículo 168 la Ley Orgánica Procesal del Trabajo, denunció el formalizante el vicio de inmotivación por silencio de prueba.</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Alega la parte recurrente que la recurrida no tomó en cuenta el documento que cursa al folio 228 del expediente, contentivo de las resultas de la prueba de informes rendidos por el Instituto Unitario del Centro; que según dicho documento la demandante prestó servicios al referido Instituto como secretaria del Departamento de Control y Evaluación de Estudios durante el año escolar 1995-1996; que la recurrida nada dijo sobre esa prueba, la cual demuestra que la primera relación de trabajo terminó en 1995 y la segunda inició con el año escolar 1996.     </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Para decidir la Sala observa:   </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 xml:space="preserve">La inmotivación por silencio de pruebas se configura cuando el Juez omite cualquier mención sobre una prueba promovida y evacuada por las partes, y cuando, a pesar de haber mencionado su promoción y evacuación, se abstiene de analizar su contenido y señalar el valor que le confiere o las razones para desestimarla, siendo necesario, además, que las pruebas silenciadas sean determinantes para la resolución de la controversia, pues por aplicación del principio finalista y para evitar reposiciones inútiles, no se declarará la nulidad de la </w:t>
      </w:r>
      <w:r w:rsidRPr="00FE1EB0">
        <w:rPr>
          <w:rFonts w:ascii="Times New Roman" w:hAnsi="Times New Roman" w:cs="Times New Roman"/>
          <w:sz w:val="32"/>
          <w:szCs w:val="32"/>
          <w:lang w:val="es-VE"/>
        </w:rPr>
        <w:lastRenderedPageBreak/>
        <w:t>sentencia recurrida si la deficiencia concreta que la afecta no impide determinar el alcance subjetivo u objetivo de la cosa juzgada, o no hace imposible su eventual ejecución.</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Del examen de la recurrida, se desprende que el sentenciador de alzada omite mencionar la prueba instrumental delatada como silenciada, la cual consiste en resultas de prueba de informes rendidos por el Instituto Unitario del Centro. En dicho documento se señala que la demandante prestó servicios para el Instituto Unitario del Centro desde el 1° de octubre de 1994 hasta el 27 de septiembre de 1996. No obstante, la referida prueba no tiene influencia determinante en el dispositivo de la recurrida, pues lo allí afirmado es contrario a lo alegado por la demandada, quien, según se desprende del texto de la recurrida, alegó que la relación de trabajo que la unió con la demandante terminó el 15 de agosto de 2005, por lo que resulta inverosímil lo expresado en el instrumento en cuestión, tanto más en cuanto que a éste no se le anexa ningún documento o comprobante que soporte lo afirmado en él.          </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Por las razones expuestas, la presente denuncia se declara improcedente. Así se decide.</w:t>
      </w:r>
    </w:p>
    <w:p w:rsidR="00E6540F" w:rsidRPr="00FE1EB0" w:rsidRDefault="00E6540F" w:rsidP="00E6540F">
      <w:pPr>
        <w:widowControl w:val="0"/>
        <w:autoSpaceDE w:val="0"/>
        <w:autoSpaceDN w:val="0"/>
        <w:adjustRightInd w:val="0"/>
        <w:spacing w:after="160"/>
        <w:jc w:val="center"/>
        <w:rPr>
          <w:rFonts w:ascii="Calibri" w:hAnsi="Calibri" w:cs="Calibri"/>
          <w:sz w:val="30"/>
          <w:szCs w:val="30"/>
          <w:lang w:val="es-VE"/>
        </w:rPr>
      </w:pPr>
      <w:r w:rsidRPr="00FE1EB0">
        <w:rPr>
          <w:rFonts w:ascii="Times New Roman" w:hAnsi="Times New Roman" w:cs="Times New Roman"/>
          <w:b/>
          <w:bCs/>
          <w:sz w:val="32"/>
          <w:szCs w:val="32"/>
          <w:lang w:val="es-VE"/>
        </w:rPr>
        <w:t>-III-</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Con fundamento en el ordinal 2° del artículo 168 de la Ley Orgánica Procesal del Trabajo, denunció el formalizante la infracción del artículo 2 de la Ley Programa de Alimentación para los Trabajadores, por falta de aplicación.</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 xml:space="preserve">Alega la recurrente que negó los salarios afirmados en la demanda; que produjo recibos de pago de salarios y liquidaciones de prestaciones sociales que reflejan los verdaderos salarios devengados por la demandante, los cuales eran los que regían para las empresas que tenían en sus nóminas menos de veinte (20) trabajadores; que dichos recibos no fueron impugnados ni desconocidos; que, sin embargo, la recurrida decide que esos no eran los salarios devengados por la demandante, sino los </w:t>
      </w:r>
      <w:r w:rsidRPr="00FE1EB0">
        <w:rPr>
          <w:rFonts w:ascii="Times New Roman" w:hAnsi="Times New Roman" w:cs="Times New Roman"/>
          <w:sz w:val="32"/>
          <w:szCs w:val="32"/>
          <w:lang w:val="es-VE"/>
        </w:rPr>
        <w:lastRenderedPageBreak/>
        <w:t>expresados en la demanda.</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Aduce que los referidos recibos debían adminicularse con las nóminas del personal obrero, administrativo y docente, a las cuales se les otorgó valor probatorio; que con ello se demuestra que la demandada tenía menos de veinte (20) trabajadores.</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Para decidir la Sala observa:</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El artículo 2° de la Ley Programa de Alimentación para los Trabajadores, la cual estuvo vigente hasta el 26 de diciembre de 2004, disponía que los empleadores del sector privado y del sector público que tengan a su cargo más de cincuenta (50) trabajadores otorgarán a aquellos que devenguen hasta dos (2) salarios mínimos mensuales, el beneficio de provisión total o parcial de una comida balanceada durante la jornada de trabajo.    </w:t>
      </w:r>
    </w:p>
    <w:p w:rsidR="00E6540F" w:rsidRPr="00FE1EB0" w:rsidRDefault="00E6540F" w:rsidP="00E6540F">
      <w:pPr>
        <w:widowControl w:val="0"/>
        <w:autoSpaceDE w:val="0"/>
        <w:autoSpaceDN w:val="0"/>
        <w:adjustRightInd w:val="0"/>
        <w:spacing w:after="320"/>
        <w:ind w:firstLine="1880"/>
        <w:jc w:val="both"/>
        <w:rPr>
          <w:rFonts w:ascii="Calibri" w:hAnsi="Calibri" w:cs="Calibri"/>
          <w:sz w:val="30"/>
          <w:szCs w:val="30"/>
          <w:lang w:val="es-VE"/>
        </w:rPr>
      </w:pPr>
      <w:r w:rsidRPr="00FE1EB0">
        <w:rPr>
          <w:rFonts w:ascii="Times New Roman" w:hAnsi="Times New Roman" w:cs="Times New Roman"/>
          <w:sz w:val="32"/>
          <w:szCs w:val="32"/>
          <w:lang w:val="es-VE"/>
        </w:rPr>
        <w:t>Por su parte la Ley de Alimentación para los Trabajadores del 27 de diciembre de 2004, en su artículo 2°, disponía que los empleadores del sector público y del sector privado que tengan a su cargo veinte (20) trabajadores, otorgarán el beneficio de una comida balanceada durante la jornada de trabajo.</w:t>
      </w:r>
    </w:p>
    <w:p w:rsidR="00E6540F" w:rsidRPr="00FE1EB0" w:rsidRDefault="00E6540F" w:rsidP="00E6540F">
      <w:pPr>
        <w:widowControl w:val="0"/>
        <w:autoSpaceDE w:val="0"/>
        <w:autoSpaceDN w:val="0"/>
        <w:adjustRightInd w:val="0"/>
        <w:spacing w:after="320"/>
        <w:ind w:firstLine="1880"/>
        <w:jc w:val="both"/>
        <w:rPr>
          <w:rFonts w:ascii="Calibri" w:hAnsi="Calibri" w:cs="Calibri"/>
          <w:sz w:val="30"/>
          <w:szCs w:val="30"/>
          <w:lang w:val="es-VE"/>
        </w:rPr>
      </w:pPr>
      <w:r w:rsidRPr="00FE1EB0">
        <w:rPr>
          <w:rFonts w:ascii="Times New Roman" w:hAnsi="Times New Roman" w:cs="Times New Roman"/>
          <w:sz w:val="32"/>
          <w:szCs w:val="32"/>
          <w:lang w:val="es-VE"/>
        </w:rPr>
        <w:t>Vistas las disposiciones delatadas, entiende la Sala que lo que ha querido denunciar el formalizante con su exigua argumentación es que una vez establecido por la recurrida que la demandada tenía a su cargo menos de veinte (20) trabajadores, ha debido declarar improcedente el reclamo por concepto de beneficio de alimentación, por interpretación en contrario de las citadas normas. De modo que lo que ha querido realmente delatar el formalizante no es la falta de aplicación, sino la falsa aplicación de las disposiciones delatadas.</w:t>
      </w:r>
    </w:p>
    <w:p w:rsidR="00E6540F" w:rsidRPr="00FE1EB0" w:rsidRDefault="00E6540F" w:rsidP="00E6540F">
      <w:pPr>
        <w:widowControl w:val="0"/>
        <w:autoSpaceDE w:val="0"/>
        <w:autoSpaceDN w:val="0"/>
        <w:adjustRightInd w:val="0"/>
        <w:spacing w:after="320"/>
        <w:ind w:firstLine="1880"/>
        <w:jc w:val="both"/>
        <w:rPr>
          <w:rFonts w:ascii="Calibri" w:hAnsi="Calibri" w:cs="Calibri"/>
          <w:sz w:val="30"/>
          <w:szCs w:val="30"/>
          <w:lang w:val="es-VE"/>
        </w:rPr>
      </w:pPr>
      <w:r w:rsidRPr="00FE1EB0">
        <w:rPr>
          <w:rFonts w:ascii="Times New Roman" w:hAnsi="Times New Roman" w:cs="Times New Roman"/>
          <w:sz w:val="32"/>
          <w:szCs w:val="32"/>
          <w:lang w:val="es-VE"/>
        </w:rPr>
        <w:t xml:space="preserve">La reiterada doctrina jurisprudencial ha </w:t>
      </w:r>
      <w:r w:rsidRPr="00FE1EB0">
        <w:rPr>
          <w:rFonts w:ascii="Times New Roman" w:hAnsi="Times New Roman" w:cs="Times New Roman"/>
          <w:sz w:val="32"/>
          <w:szCs w:val="32"/>
          <w:lang w:val="es-VE"/>
        </w:rPr>
        <w:lastRenderedPageBreak/>
        <w:t>puntualizado que la falsa aplicación de una norma se produce cuando el juez aplica una determinada norma jurídica a una situación de hecho que no es la contemplada en ella, esto es, el error que puede provenir de la comprobación de los hechos o de un error en la calificación jurídica de la hipótesis concreta contenida en la norma.</w:t>
      </w:r>
    </w:p>
    <w:p w:rsidR="00E6540F" w:rsidRPr="00FE1EB0" w:rsidRDefault="00E6540F" w:rsidP="00E6540F">
      <w:pPr>
        <w:widowControl w:val="0"/>
        <w:autoSpaceDE w:val="0"/>
        <w:autoSpaceDN w:val="0"/>
        <w:adjustRightInd w:val="0"/>
        <w:spacing w:after="320"/>
        <w:ind w:firstLine="1880"/>
        <w:jc w:val="both"/>
        <w:rPr>
          <w:rFonts w:ascii="Calibri" w:hAnsi="Calibri" w:cs="Calibri"/>
          <w:sz w:val="30"/>
          <w:szCs w:val="30"/>
          <w:lang w:val="es-VE"/>
        </w:rPr>
      </w:pPr>
      <w:r w:rsidRPr="00FE1EB0">
        <w:rPr>
          <w:rFonts w:ascii="Times New Roman" w:hAnsi="Times New Roman" w:cs="Times New Roman"/>
          <w:sz w:val="32"/>
          <w:szCs w:val="32"/>
          <w:lang w:val="es-VE"/>
        </w:rPr>
        <w:t>Ahora el establecimiento de un hecho falso o inexacto solo podrá ser objeto de casación si el juez incurre en suposición falsa o si infringe una máxima de experiencia al constatar la existencia o características del suceso. En el primero de los casos se exige que se denuncie, además de la infracción de la norma que resulte falsamente aplicable, el supuesto concreto de suposición falsa.</w:t>
      </w:r>
    </w:p>
    <w:p w:rsidR="00E6540F" w:rsidRPr="00FE1EB0" w:rsidRDefault="00E6540F" w:rsidP="00E6540F">
      <w:pPr>
        <w:widowControl w:val="0"/>
        <w:autoSpaceDE w:val="0"/>
        <w:autoSpaceDN w:val="0"/>
        <w:adjustRightInd w:val="0"/>
        <w:spacing w:after="320"/>
        <w:ind w:firstLine="1880"/>
        <w:jc w:val="both"/>
        <w:rPr>
          <w:rFonts w:ascii="Calibri" w:hAnsi="Calibri" w:cs="Calibri"/>
          <w:sz w:val="30"/>
          <w:szCs w:val="30"/>
          <w:lang w:val="es-VE"/>
        </w:rPr>
      </w:pPr>
      <w:r w:rsidRPr="00FE1EB0">
        <w:rPr>
          <w:rFonts w:ascii="Times New Roman" w:hAnsi="Times New Roman" w:cs="Times New Roman"/>
          <w:sz w:val="32"/>
          <w:szCs w:val="32"/>
          <w:lang w:val="es-VE"/>
        </w:rPr>
        <w:t>En el caso de autos, la recurrente presenta una formalización deficiente, pues no delata un supuesto concreto de suposición falsa que le permita a la Sala descender a las actas y examinar el establecimiento de los hechos realizado por la recurrida, razón suficiente para desechar la denuncia.</w:t>
      </w:r>
    </w:p>
    <w:p w:rsidR="00E6540F" w:rsidRPr="00FE1EB0" w:rsidRDefault="00E6540F" w:rsidP="00E6540F">
      <w:pPr>
        <w:widowControl w:val="0"/>
        <w:autoSpaceDE w:val="0"/>
        <w:autoSpaceDN w:val="0"/>
        <w:adjustRightInd w:val="0"/>
        <w:spacing w:after="320"/>
        <w:ind w:firstLine="1880"/>
        <w:jc w:val="both"/>
        <w:rPr>
          <w:rFonts w:ascii="Calibri" w:hAnsi="Calibri" w:cs="Calibri"/>
          <w:sz w:val="30"/>
          <w:szCs w:val="30"/>
          <w:lang w:val="es-VE"/>
        </w:rPr>
      </w:pPr>
      <w:r w:rsidRPr="00FE1EB0">
        <w:rPr>
          <w:rFonts w:ascii="Times New Roman" w:hAnsi="Times New Roman" w:cs="Times New Roman"/>
          <w:sz w:val="32"/>
          <w:szCs w:val="32"/>
          <w:lang w:val="es-VE"/>
        </w:rPr>
        <w:t>Empero, observa esta Sala que la recurrida estableció que la demandada alegó tener a su cargo menos de veinte (20) trabajadores, por lo que le correspondía la carga de probar esa afirmación y; que no constan en autos elementos probatorios que demuestren lo alegado por la demandada.</w:t>
      </w:r>
    </w:p>
    <w:p w:rsidR="00E6540F" w:rsidRPr="00FE1EB0" w:rsidRDefault="00E6540F" w:rsidP="00E6540F">
      <w:pPr>
        <w:widowControl w:val="0"/>
        <w:autoSpaceDE w:val="0"/>
        <w:autoSpaceDN w:val="0"/>
        <w:adjustRightInd w:val="0"/>
        <w:spacing w:after="320"/>
        <w:ind w:firstLine="1880"/>
        <w:jc w:val="both"/>
        <w:rPr>
          <w:rFonts w:ascii="Calibri" w:hAnsi="Calibri" w:cs="Calibri"/>
          <w:sz w:val="30"/>
          <w:szCs w:val="30"/>
          <w:lang w:val="es-VE"/>
        </w:rPr>
      </w:pPr>
      <w:r w:rsidRPr="00FE1EB0">
        <w:rPr>
          <w:rFonts w:ascii="Times New Roman" w:hAnsi="Times New Roman" w:cs="Times New Roman"/>
          <w:sz w:val="32"/>
          <w:szCs w:val="32"/>
          <w:lang w:val="es-VE"/>
        </w:rPr>
        <w:t>De manera que, no existe la afirmación de un hecho positivo y concreto por parte del Sentenciador, punto de partida del error de suposición falsa, sino que la Alzada estableció que la demandada no logró demostrar sus afirmaciones para evitar la aplicación de la norma cuestionada.</w:t>
      </w:r>
    </w:p>
    <w:p w:rsidR="00E6540F" w:rsidRPr="00FE1EB0" w:rsidRDefault="00E6540F" w:rsidP="00E6540F">
      <w:pPr>
        <w:widowControl w:val="0"/>
        <w:autoSpaceDE w:val="0"/>
        <w:autoSpaceDN w:val="0"/>
        <w:adjustRightInd w:val="0"/>
        <w:spacing w:after="320"/>
        <w:ind w:firstLine="1880"/>
        <w:jc w:val="both"/>
        <w:rPr>
          <w:rFonts w:ascii="Calibri" w:hAnsi="Calibri" w:cs="Calibri"/>
          <w:sz w:val="30"/>
          <w:szCs w:val="30"/>
          <w:lang w:val="es-VE"/>
        </w:rPr>
      </w:pPr>
      <w:r w:rsidRPr="00FE1EB0">
        <w:rPr>
          <w:rFonts w:ascii="Times New Roman" w:hAnsi="Times New Roman" w:cs="Times New Roman"/>
          <w:sz w:val="32"/>
          <w:szCs w:val="32"/>
          <w:lang w:val="es-VE"/>
        </w:rPr>
        <w:t xml:space="preserve">Es pertinente ratificar una vez más que los jueces de instancia son soberanos en la apreciación de los hechos y las </w:t>
      </w:r>
      <w:r w:rsidRPr="00FE1EB0">
        <w:rPr>
          <w:rFonts w:ascii="Times New Roman" w:hAnsi="Times New Roman" w:cs="Times New Roman"/>
          <w:sz w:val="32"/>
          <w:szCs w:val="32"/>
          <w:lang w:val="es-VE"/>
        </w:rPr>
        <w:lastRenderedPageBreak/>
        <w:t>pruebas, que la casación no es una tercera instancia y que solo excepcionalmente, cuando medie una denuncia formalizada con la técnica adecuada, podrá la Sala descender a las actas del expediente y examinar el establecimiento de los hechos y las pruebas.</w:t>
      </w:r>
    </w:p>
    <w:p w:rsidR="00E6540F" w:rsidRPr="00FE1EB0" w:rsidRDefault="00E6540F" w:rsidP="00E6540F">
      <w:pPr>
        <w:widowControl w:val="0"/>
        <w:autoSpaceDE w:val="0"/>
        <w:autoSpaceDN w:val="0"/>
        <w:adjustRightInd w:val="0"/>
        <w:spacing w:after="320"/>
        <w:ind w:firstLine="1880"/>
        <w:jc w:val="both"/>
        <w:rPr>
          <w:rFonts w:ascii="Calibri" w:hAnsi="Calibri" w:cs="Calibri"/>
          <w:sz w:val="30"/>
          <w:szCs w:val="30"/>
          <w:lang w:val="es-VE"/>
        </w:rPr>
      </w:pPr>
      <w:r w:rsidRPr="00FE1EB0">
        <w:rPr>
          <w:rFonts w:ascii="Times New Roman" w:hAnsi="Times New Roman" w:cs="Times New Roman"/>
          <w:sz w:val="32"/>
          <w:szCs w:val="32"/>
          <w:lang w:val="es-VE"/>
        </w:rPr>
        <w:t>Por lo anteriormente expuesto la denuncia se declara improcedente. Así se decide.  </w:t>
      </w:r>
    </w:p>
    <w:p w:rsidR="00E6540F" w:rsidRPr="00FE1EB0" w:rsidRDefault="00E6540F" w:rsidP="00E6540F">
      <w:pPr>
        <w:widowControl w:val="0"/>
        <w:autoSpaceDE w:val="0"/>
        <w:autoSpaceDN w:val="0"/>
        <w:adjustRightInd w:val="0"/>
        <w:spacing w:after="160"/>
        <w:jc w:val="center"/>
        <w:rPr>
          <w:rFonts w:ascii="Calibri" w:hAnsi="Calibri" w:cs="Calibri"/>
          <w:sz w:val="30"/>
          <w:szCs w:val="30"/>
          <w:lang w:val="es-VE"/>
        </w:rPr>
      </w:pPr>
      <w:r w:rsidRPr="00FE1EB0">
        <w:rPr>
          <w:rFonts w:ascii="Times New Roman" w:hAnsi="Times New Roman" w:cs="Times New Roman"/>
          <w:b/>
          <w:bCs/>
          <w:sz w:val="32"/>
          <w:szCs w:val="32"/>
          <w:lang w:val="es-VE"/>
        </w:rPr>
        <w:t> </w:t>
      </w:r>
    </w:p>
    <w:p w:rsidR="00E6540F" w:rsidRPr="00FE1EB0" w:rsidRDefault="00E6540F" w:rsidP="00E6540F">
      <w:pPr>
        <w:widowControl w:val="0"/>
        <w:autoSpaceDE w:val="0"/>
        <w:autoSpaceDN w:val="0"/>
        <w:adjustRightInd w:val="0"/>
        <w:spacing w:after="160"/>
        <w:jc w:val="center"/>
        <w:rPr>
          <w:rFonts w:ascii="Calibri" w:hAnsi="Calibri" w:cs="Calibri"/>
          <w:sz w:val="30"/>
          <w:szCs w:val="30"/>
          <w:lang w:val="es-VE"/>
        </w:rPr>
      </w:pPr>
      <w:r w:rsidRPr="00FE1EB0">
        <w:rPr>
          <w:rFonts w:ascii="Times New Roman" w:hAnsi="Times New Roman" w:cs="Times New Roman"/>
          <w:b/>
          <w:bCs/>
          <w:sz w:val="32"/>
          <w:szCs w:val="32"/>
          <w:lang w:val="es-VE"/>
        </w:rPr>
        <w:t>-IV-</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Con fundamento en el ordinal 3° del artículo 168 de la Ley Orgánica Procesal del Trabajo, denunció el formalizante el vicio de inmotivación por contradicción en los motivos.</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Alega la recurrente que la recurrida, al examinar las pruebas de la demandada, le otorgó valor probatorio a los documentos que cursan a los folios 179 y 180 del expediente, pero al decidir sobre el reclamo por concepto de beneficio de alimentación les negó valor probatorio, incurriendo en contradicción.</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Para decidir la Sala observa:</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La recurrida al realizar el examen de las pruebas de la demandada estableció:</w:t>
      </w:r>
    </w:p>
    <w:p w:rsidR="00E6540F" w:rsidRPr="00FE1EB0" w:rsidRDefault="00E6540F" w:rsidP="00E6540F">
      <w:pPr>
        <w:widowControl w:val="0"/>
        <w:autoSpaceDE w:val="0"/>
        <w:autoSpaceDN w:val="0"/>
        <w:adjustRightInd w:val="0"/>
        <w:spacing w:after="160"/>
        <w:ind w:left="1880"/>
        <w:jc w:val="both"/>
        <w:rPr>
          <w:rFonts w:ascii="Calibri" w:hAnsi="Calibri" w:cs="Calibri"/>
          <w:sz w:val="30"/>
          <w:szCs w:val="30"/>
          <w:lang w:val="es-VE"/>
        </w:rPr>
      </w:pPr>
      <w:r w:rsidRPr="00FE1EB0">
        <w:rPr>
          <w:rFonts w:ascii="Times New Roman" w:hAnsi="Times New Roman" w:cs="Times New Roman"/>
          <w:sz w:val="32"/>
          <w:szCs w:val="32"/>
          <w:lang w:val="es-VE"/>
        </w:rPr>
        <w:t xml:space="preserve">E).- Marcadas “W” y “X” (ver folios 179 y 180), consigna nómina del personal administrativo y obrero, y del personal directivo y docente, con sello húmedo de la Unidad Educativa Vargas, y del Ministerio de Educación, Cultura y Deportes, las cuales fueron impugnadas y desconocidas por la representación judicial de la actora, no siendo así el medio de ataque idóneo contra dichas instrumentales, por lo que este Tribunal le confiere </w:t>
      </w:r>
      <w:r w:rsidRPr="00FE1EB0">
        <w:rPr>
          <w:rFonts w:ascii="Times New Roman" w:hAnsi="Times New Roman" w:cs="Times New Roman"/>
          <w:sz w:val="32"/>
          <w:szCs w:val="32"/>
          <w:lang w:val="es-VE"/>
        </w:rPr>
        <w:lastRenderedPageBreak/>
        <w:t>valor probatorio.</w:t>
      </w:r>
    </w:p>
    <w:p w:rsidR="00E6540F" w:rsidRPr="00FE1EB0" w:rsidRDefault="00E6540F" w:rsidP="00E6540F">
      <w:pPr>
        <w:widowControl w:val="0"/>
        <w:autoSpaceDE w:val="0"/>
        <w:autoSpaceDN w:val="0"/>
        <w:adjustRightInd w:val="0"/>
        <w:spacing w:after="160"/>
        <w:ind w:left="1880"/>
        <w:jc w:val="both"/>
        <w:rPr>
          <w:rFonts w:ascii="Calibri" w:hAnsi="Calibri" w:cs="Calibri"/>
          <w:sz w:val="30"/>
          <w:szCs w:val="30"/>
          <w:lang w:val="es-VE"/>
        </w:rPr>
      </w:pPr>
      <w:r w:rsidRPr="00FE1EB0">
        <w:rPr>
          <w:rFonts w:ascii="Times New Roman" w:hAnsi="Times New Roman" w:cs="Times New Roman"/>
          <w:sz w:val="32"/>
          <w:szCs w:val="32"/>
          <w:lang w:val="es-VE"/>
        </w:rPr>
        <w:t>Asimismo, al momento de establecer el salario:</w:t>
      </w:r>
    </w:p>
    <w:p w:rsidR="00E6540F" w:rsidRPr="00FE1EB0" w:rsidRDefault="00E6540F" w:rsidP="00E6540F">
      <w:pPr>
        <w:widowControl w:val="0"/>
        <w:autoSpaceDE w:val="0"/>
        <w:autoSpaceDN w:val="0"/>
        <w:adjustRightInd w:val="0"/>
        <w:spacing w:after="160"/>
        <w:ind w:left="1880"/>
        <w:jc w:val="both"/>
        <w:rPr>
          <w:rFonts w:ascii="Calibri" w:hAnsi="Calibri" w:cs="Calibri"/>
          <w:sz w:val="30"/>
          <w:szCs w:val="30"/>
          <w:lang w:val="es-VE"/>
        </w:rPr>
      </w:pPr>
      <w:r w:rsidRPr="00FE1EB0">
        <w:rPr>
          <w:rFonts w:ascii="Times New Roman" w:hAnsi="Times New Roman" w:cs="Times New Roman"/>
          <w:sz w:val="32"/>
          <w:szCs w:val="32"/>
          <w:lang w:val="es-VE"/>
        </w:rPr>
        <w:t>C).- Del análisis probatorio de las pruebas aportadas (sic) por las partes, del cual tomó nota este Tribunal a través de la inmediación de segundo grado, se llega a las mismas conclusiones a las cuales arribó el a quo, (sic) estableciendo que la parte demandada solo se limitó a consignar a los autos para demostrar tal afirmación, las instrumentales marcadas con las letras “W” y “X”, las cuales fueron desconocidas por la actora y virtud (sic) de ello fueron desechadas del material probatorio, motivo por el cual, no existiendo en autos elementos que demuestren que la demandada tenía menos de veinte (20) trabajadores bajo su dependencia, así como tampoco logró demostrar que la parte actora devengaba un salario menor al señalado en su libelo, se concluye al igual que el a quo, (sic) que los salarios devengados por la accionante durante la existencia de loa relación de trabajo son los indicados en el libelo, con exclusión de la Bs. 89.657,12 (sic) a partir del 01 de septiembre de 2006, es decir, los salarios devengados son los siguientes:</w:t>
      </w:r>
    </w:p>
    <w:p w:rsidR="00E6540F" w:rsidRPr="00FA09C6" w:rsidRDefault="00E6540F" w:rsidP="00E6540F">
      <w:pPr>
        <w:widowControl w:val="0"/>
        <w:autoSpaceDE w:val="0"/>
        <w:autoSpaceDN w:val="0"/>
        <w:adjustRightInd w:val="0"/>
        <w:spacing w:after="160"/>
        <w:ind w:left="1880"/>
        <w:jc w:val="both"/>
        <w:rPr>
          <w:rFonts w:ascii="Calibri" w:hAnsi="Calibri" w:cs="Calibri"/>
          <w:sz w:val="30"/>
          <w:szCs w:val="30"/>
          <w:lang w:val="es-VE"/>
        </w:rPr>
      </w:pPr>
      <w:r w:rsidRPr="00FA09C6">
        <w:rPr>
          <w:rFonts w:ascii="Times New Roman" w:hAnsi="Times New Roman" w:cs="Times New Roman"/>
          <w:sz w:val="32"/>
          <w:szCs w:val="32"/>
          <w:lang w:val="es-VE"/>
        </w:rPr>
        <w:t>(Omisis) </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 xml:space="preserve">De los párrafos transcritos se aprecia que la recurrida incurrió en una evidente contradicción al otorgarle valor probatorio a una prueba documental y luego afirmar que la misma prueba quedó desechada del proceso. No obstante, observa la Sala que esta contradicción no tiene influencia determinante en el dispositivo de la recurrida, pues el mencionado instrumento no es idóneo  ni suficiente para demostrar que la demandada tenía a su cargo menos de veinte (20) trabajadores, pues debió ser concomitante con otro medio de prueba idóneo como la inspección </w:t>
      </w:r>
      <w:r w:rsidRPr="00FE1EB0">
        <w:rPr>
          <w:rFonts w:ascii="Times New Roman" w:hAnsi="Times New Roman" w:cs="Times New Roman"/>
          <w:sz w:val="32"/>
          <w:szCs w:val="32"/>
          <w:lang w:val="es-VE"/>
        </w:rPr>
        <w:lastRenderedPageBreak/>
        <w:t>judicial, además, no tiene fecha y nada garantiza que esa haya sido la nómina que mantuvo la demandada durante todo el tiempo que duró la relación de trabajo. Por otra parte, es un documento elaborado unilateralmente por la demandada y presentado al Ministerio del ramo para ser firmado y sellado.        </w:t>
      </w:r>
    </w:p>
    <w:p w:rsidR="00E6540F" w:rsidRPr="00FE1EB0" w:rsidRDefault="00E6540F" w:rsidP="00E6540F">
      <w:pPr>
        <w:widowControl w:val="0"/>
        <w:autoSpaceDE w:val="0"/>
        <w:autoSpaceDN w:val="0"/>
        <w:adjustRightInd w:val="0"/>
        <w:spacing w:after="160"/>
        <w:ind w:firstLine="1880"/>
        <w:jc w:val="both"/>
        <w:rPr>
          <w:rFonts w:ascii="Calibri" w:hAnsi="Calibri" w:cs="Calibri"/>
          <w:sz w:val="30"/>
          <w:szCs w:val="30"/>
          <w:lang w:val="es-VE"/>
        </w:rPr>
      </w:pPr>
      <w:r w:rsidRPr="00FE1EB0">
        <w:rPr>
          <w:rFonts w:ascii="Times New Roman" w:hAnsi="Times New Roman" w:cs="Times New Roman"/>
          <w:sz w:val="32"/>
          <w:szCs w:val="32"/>
          <w:lang w:val="es-VE"/>
        </w:rPr>
        <w:t>Por todo lo expuesto, la denuncia se declara improcedente. Así se decide.</w:t>
      </w:r>
    </w:p>
    <w:p w:rsidR="00E6540F" w:rsidRPr="00FE1EB0" w:rsidRDefault="00E6540F" w:rsidP="00E6540F">
      <w:pPr>
        <w:widowControl w:val="0"/>
        <w:autoSpaceDE w:val="0"/>
        <w:autoSpaceDN w:val="0"/>
        <w:adjustRightInd w:val="0"/>
        <w:spacing w:after="160"/>
        <w:jc w:val="center"/>
        <w:rPr>
          <w:rFonts w:ascii="Calibri" w:hAnsi="Calibri" w:cs="Calibri"/>
          <w:sz w:val="30"/>
          <w:szCs w:val="30"/>
          <w:lang w:val="es-VE"/>
        </w:rPr>
      </w:pPr>
      <w:r w:rsidRPr="00FE1EB0">
        <w:rPr>
          <w:rFonts w:ascii="Times New Roman" w:hAnsi="Times New Roman" w:cs="Times New Roman"/>
          <w:b/>
          <w:bCs/>
          <w:sz w:val="32"/>
          <w:szCs w:val="32"/>
          <w:lang w:val="es-VE"/>
        </w:rPr>
        <w:t>DECISIÓN</w:t>
      </w:r>
    </w:p>
    <w:p w:rsidR="00E6540F" w:rsidRPr="00FE1EB0" w:rsidRDefault="00E6540F" w:rsidP="00E6540F">
      <w:pPr>
        <w:widowControl w:val="0"/>
        <w:autoSpaceDE w:val="0"/>
        <w:autoSpaceDN w:val="0"/>
        <w:adjustRightInd w:val="0"/>
        <w:spacing w:after="320"/>
        <w:ind w:firstLine="1880"/>
        <w:jc w:val="both"/>
        <w:rPr>
          <w:rFonts w:ascii="Calibri" w:hAnsi="Calibri" w:cs="Calibri"/>
          <w:sz w:val="30"/>
          <w:szCs w:val="30"/>
          <w:lang w:val="es-VE"/>
        </w:rPr>
      </w:pPr>
      <w:r w:rsidRPr="00FE1EB0">
        <w:rPr>
          <w:rFonts w:ascii="Times New Roman" w:hAnsi="Times New Roman" w:cs="Times New Roman"/>
          <w:sz w:val="32"/>
          <w:szCs w:val="32"/>
          <w:lang w:val="es-VE"/>
        </w:rPr>
        <w:t xml:space="preserve">Por las razones antes expuestas, este Tribunal Supremo de Justicia, en Sala de Casación Social, administrando justicia en nombre de la República Bolivariana de Venezuela por autoridad de la ley, declara: </w:t>
      </w:r>
      <w:r w:rsidRPr="00FE1EB0">
        <w:rPr>
          <w:rFonts w:ascii="Times New Roman" w:hAnsi="Times New Roman" w:cs="Times New Roman"/>
          <w:b/>
          <w:bCs/>
          <w:sz w:val="32"/>
          <w:szCs w:val="32"/>
          <w:u w:val="single"/>
          <w:lang w:val="es-VE"/>
        </w:rPr>
        <w:t>SIN LUGAR</w:t>
      </w:r>
      <w:r w:rsidRPr="00FE1EB0">
        <w:rPr>
          <w:rFonts w:ascii="Times New Roman" w:hAnsi="Times New Roman" w:cs="Times New Roman"/>
          <w:sz w:val="32"/>
          <w:szCs w:val="32"/>
          <w:lang w:val="es-VE"/>
        </w:rPr>
        <w:t xml:space="preserve"> el recurso de casación anunciado y formalizado por la codemandada Unidad Educativa José María Vargas contra la sentencia dictada por el Juzgado Segundo Superior del Trabajo de la Circunscripción Judicial del Área Metropolitana de Caracas, publicada el 5 de octubre de 2010. En consecuencia se confirma el fallo recurrido.</w:t>
      </w:r>
    </w:p>
    <w:p w:rsidR="00E6540F" w:rsidRPr="00FE1EB0" w:rsidRDefault="00E6540F" w:rsidP="00E6540F">
      <w:pPr>
        <w:widowControl w:val="0"/>
        <w:autoSpaceDE w:val="0"/>
        <w:autoSpaceDN w:val="0"/>
        <w:adjustRightInd w:val="0"/>
        <w:spacing w:after="320"/>
        <w:ind w:firstLine="1880"/>
        <w:jc w:val="both"/>
        <w:rPr>
          <w:rFonts w:ascii="Calibri" w:hAnsi="Calibri" w:cs="Calibri"/>
          <w:sz w:val="30"/>
          <w:szCs w:val="30"/>
          <w:lang w:val="es-VE"/>
        </w:rPr>
      </w:pPr>
      <w:r w:rsidRPr="00FE1EB0">
        <w:rPr>
          <w:rFonts w:ascii="Times New Roman" w:hAnsi="Times New Roman" w:cs="Times New Roman"/>
          <w:sz w:val="32"/>
          <w:szCs w:val="32"/>
          <w:lang w:val="es-VE"/>
        </w:rPr>
        <w:t>Publíquese, regístrese y remítase el expediente a la Unidad de Recepción y Distribución de Documentos de la Circunscripción Judicial del Área Metropolitana de Caracas. Particípese de esta remisión al Juzgado Superior de origen, antes identificado, todo de conformidad con el artículo 176 de la Ley Orgánica Procesal del Trabajo.</w:t>
      </w:r>
    </w:p>
    <w:p w:rsidR="00E6540F" w:rsidRPr="00FE1EB0" w:rsidRDefault="00E6540F" w:rsidP="00E6540F">
      <w:pPr>
        <w:widowControl w:val="0"/>
        <w:autoSpaceDE w:val="0"/>
        <w:autoSpaceDN w:val="0"/>
        <w:adjustRightInd w:val="0"/>
        <w:spacing w:after="320"/>
        <w:ind w:firstLine="1880"/>
        <w:jc w:val="both"/>
        <w:rPr>
          <w:rFonts w:ascii="Calibri" w:hAnsi="Calibri" w:cs="Calibri"/>
          <w:sz w:val="30"/>
          <w:szCs w:val="30"/>
          <w:lang w:val="es-VE"/>
        </w:rPr>
      </w:pPr>
      <w:r w:rsidRPr="00FE1EB0">
        <w:rPr>
          <w:rFonts w:ascii="Times New Roman" w:hAnsi="Times New Roman" w:cs="Times New Roman"/>
          <w:sz w:val="32"/>
          <w:szCs w:val="32"/>
          <w:lang w:val="es-VE"/>
        </w:rPr>
        <w:t>Dada, firmada y sellada en la Sala de Despacho de la Sala de Casación Social del Tribunal Supremo de Justicia, en Caracas, a los dieciocho (18) días del mes de abril de dos mil trece. Años: 202° de la Independencia y 154° de la Federación.</w:t>
      </w:r>
    </w:p>
    <w:p w:rsidR="00E6540F" w:rsidRPr="00FE1EB0" w:rsidRDefault="00E6540F" w:rsidP="00E6540F">
      <w:pPr>
        <w:widowControl w:val="0"/>
        <w:autoSpaceDE w:val="0"/>
        <w:autoSpaceDN w:val="0"/>
        <w:adjustRightInd w:val="0"/>
        <w:jc w:val="center"/>
        <w:rPr>
          <w:rFonts w:ascii="Calibri" w:hAnsi="Calibri" w:cs="Calibri"/>
          <w:sz w:val="30"/>
          <w:szCs w:val="30"/>
          <w:lang w:val="es-VE"/>
        </w:rPr>
      </w:pPr>
      <w:r w:rsidRPr="00FE1EB0">
        <w:rPr>
          <w:rFonts w:ascii="Times New Roman" w:hAnsi="Times New Roman" w:cs="Times New Roman"/>
          <w:sz w:val="32"/>
          <w:szCs w:val="32"/>
          <w:lang w:val="es-VE"/>
        </w:rPr>
        <w:t>El Presidente de la Sala,</w:t>
      </w:r>
    </w:p>
    <w:p w:rsidR="00E6540F" w:rsidRPr="00FE1EB0" w:rsidRDefault="00E6540F" w:rsidP="00E6540F">
      <w:pPr>
        <w:widowControl w:val="0"/>
        <w:autoSpaceDE w:val="0"/>
        <w:autoSpaceDN w:val="0"/>
        <w:adjustRightInd w:val="0"/>
        <w:jc w:val="center"/>
        <w:rPr>
          <w:rFonts w:ascii="Calibri" w:hAnsi="Calibri" w:cs="Calibri"/>
          <w:sz w:val="30"/>
          <w:szCs w:val="30"/>
          <w:lang w:val="es-VE"/>
        </w:rPr>
      </w:pPr>
      <w:r w:rsidRPr="00FE1EB0">
        <w:rPr>
          <w:rFonts w:ascii="Times New Roman" w:hAnsi="Times New Roman" w:cs="Times New Roman"/>
          <w:sz w:val="22"/>
          <w:szCs w:val="22"/>
          <w:lang w:val="es-VE"/>
        </w:rPr>
        <w:t> </w:t>
      </w:r>
    </w:p>
    <w:p w:rsidR="00E6540F" w:rsidRPr="00FE1EB0" w:rsidRDefault="00E6540F" w:rsidP="00E6540F">
      <w:pPr>
        <w:widowControl w:val="0"/>
        <w:autoSpaceDE w:val="0"/>
        <w:autoSpaceDN w:val="0"/>
        <w:adjustRightInd w:val="0"/>
        <w:jc w:val="center"/>
        <w:rPr>
          <w:rFonts w:ascii="Calibri" w:hAnsi="Calibri" w:cs="Calibri"/>
          <w:sz w:val="30"/>
          <w:szCs w:val="30"/>
          <w:lang w:val="es-VE"/>
        </w:rPr>
      </w:pPr>
      <w:r w:rsidRPr="00FE1EB0">
        <w:rPr>
          <w:rFonts w:ascii="Times New Roman" w:hAnsi="Times New Roman" w:cs="Times New Roman"/>
          <w:sz w:val="22"/>
          <w:szCs w:val="22"/>
          <w:lang w:val="es-VE"/>
        </w:rPr>
        <w:t> </w:t>
      </w:r>
    </w:p>
    <w:p w:rsidR="00E6540F" w:rsidRPr="00FE1EB0" w:rsidRDefault="00E6540F" w:rsidP="00E6540F">
      <w:pPr>
        <w:widowControl w:val="0"/>
        <w:autoSpaceDE w:val="0"/>
        <w:autoSpaceDN w:val="0"/>
        <w:adjustRightInd w:val="0"/>
        <w:jc w:val="center"/>
        <w:rPr>
          <w:rFonts w:ascii="Calibri" w:hAnsi="Calibri" w:cs="Calibri"/>
          <w:sz w:val="30"/>
          <w:szCs w:val="30"/>
          <w:lang w:val="es-VE"/>
        </w:rPr>
      </w:pPr>
      <w:r w:rsidRPr="00FE1EB0">
        <w:rPr>
          <w:rFonts w:ascii="Times New Roman" w:hAnsi="Times New Roman" w:cs="Times New Roman"/>
          <w:sz w:val="32"/>
          <w:szCs w:val="32"/>
          <w:lang w:val="es-VE"/>
        </w:rPr>
        <w:t>_________________________________</w:t>
      </w:r>
    </w:p>
    <w:p w:rsidR="00E6540F" w:rsidRPr="00FE1EB0" w:rsidRDefault="00E6540F" w:rsidP="00E6540F">
      <w:pPr>
        <w:widowControl w:val="0"/>
        <w:autoSpaceDE w:val="0"/>
        <w:autoSpaceDN w:val="0"/>
        <w:adjustRightInd w:val="0"/>
        <w:jc w:val="center"/>
        <w:rPr>
          <w:rFonts w:ascii="Calibri" w:hAnsi="Calibri" w:cs="Calibri"/>
          <w:sz w:val="30"/>
          <w:szCs w:val="30"/>
          <w:lang w:val="es-VE"/>
        </w:rPr>
      </w:pPr>
      <w:r w:rsidRPr="00FE1EB0">
        <w:rPr>
          <w:rFonts w:ascii="Times New Roman" w:hAnsi="Times New Roman" w:cs="Times New Roman"/>
          <w:sz w:val="32"/>
          <w:szCs w:val="32"/>
          <w:lang w:val="es-VE"/>
        </w:rPr>
        <w:lastRenderedPageBreak/>
        <w:t>LUIS E. FRANCESCHI GUTIÉRREZ</w:t>
      </w:r>
    </w:p>
    <w:p w:rsidR="00E6540F" w:rsidRPr="00FE1EB0" w:rsidRDefault="00E6540F" w:rsidP="00E6540F">
      <w:pPr>
        <w:widowControl w:val="0"/>
        <w:autoSpaceDE w:val="0"/>
        <w:autoSpaceDN w:val="0"/>
        <w:adjustRightInd w:val="0"/>
        <w:jc w:val="center"/>
        <w:rPr>
          <w:rFonts w:ascii="Calibri" w:hAnsi="Calibri" w:cs="Calibri"/>
          <w:sz w:val="30"/>
          <w:szCs w:val="30"/>
          <w:lang w:val="es-VE"/>
        </w:rPr>
      </w:pPr>
      <w:r w:rsidRPr="00FE1EB0">
        <w:rPr>
          <w:rFonts w:ascii="Times New Roman" w:hAnsi="Times New Roman" w:cs="Times New Roman"/>
          <w:sz w:val="32"/>
          <w:szCs w:val="32"/>
          <w:lang w:val="es-VE"/>
        </w:rPr>
        <w:t> </w:t>
      </w:r>
    </w:p>
    <w:p w:rsidR="00E6540F" w:rsidRPr="00FE1EB0" w:rsidRDefault="00E6540F" w:rsidP="00E6540F">
      <w:pPr>
        <w:widowControl w:val="0"/>
        <w:autoSpaceDE w:val="0"/>
        <w:autoSpaceDN w:val="0"/>
        <w:adjustRightInd w:val="0"/>
        <w:jc w:val="center"/>
        <w:rPr>
          <w:rFonts w:ascii="Calibri" w:hAnsi="Calibri" w:cs="Calibri"/>
          <w:sz w:val="30"/>
          <w:szCs w:val="30"/>
          <w:lang w:val="es-VE"/>
        </w:rPr>
      </w:pPr>
      <w:r w:rsidRPr="00FE1EB0">
        <w:rPr>
          <w:rFonts w:ascii="Times New Roman" w:hAnsi="Times New Roman" w:cs="Times New Roman"/>
          <w:sz w:val="32"/>
          <w:szCs w:val="32"/>
          <w:lang w:val="es-VE"/>
        </w:rPr>
        <w:t>La Vicepresidenta,                                        Magistrado,</w:t>
      </w:r>
    </w:p>
    <w:p w:rsidR="00E6540F" w:rsidRPr="00FE1EB0" w:rsidRDefault="00E6540F" w:rsidP="00E6540F">
      <w:pPr>
        <w:widowControl w:val="0"/>
        <w:autoSpaceDE w:val="0"/>
        <w:autoSpaceDN w:val="0"/>
        <w:adjustRightInd w:val="0"/>
        <w:jc w:val="center"/>
        <w:rPr>
          <w:rFonts w:ascii="Calibri" w:hAnsi="Calibri" w:cs="Calibri"/>
          <w:sz w:val="30"/>
          <w:szCs w:val="30"/>
          <w:lang w:val="es-VE"/>
        </w:rPr>
      </w:pPr>
      <w:r w:rsidRPr="00FE1EB0">
        <w:rPr>
          <w:rFonts w:ascii="Times New Roman" w:hAnsi="Times New Roman" w:cs="Times New Roman"/>
          <w:sz w:val="32"/>
          <w:szCs w:val="32"/>
          <w:lang w:val="es-VE"/>
        </w:rPr>
        <w:t> </w:t>
      </w:r>
    </w:p>
    <w:p w:rsidR="00E6540F" w:rsidRPr="00FE1EB0" w:rsidRDefault="00E6540F" w:rsidP="00E6540F">
      <w:pPr>
        <w:widowControl w:val="0"/>
        <w:autoSpaceDE w:val="0"/>
        <w:autoSpaceDN w:val="0"/>
        <w:adjustRightInd w:val="0"/>
        <w:rPr>
          <w:rFonts w:ascii="Calibri" w:hAnsi="Calibri" w:cs="Calibri"/>
          <w:sz w:val="30"/>
          <w:szCs w:val="30"/>
          <w:lang w:val="es-VE"/>
        </w:rPr>
      </w:pPr>
      <w:r w:rsidRPr="00FE1EB0">
        <w:rPr>
          <w:rFonts w:ascii="Times New Roman" w:hAnsi="Times New Roman" w:cs="Times New Roman"/>
          <w:sz w:val="32"/>
          <w:szCs w:val="32"/>
          <w:lang w:val="es-VE"/>
        </w:rPr>
        <w:t>                                                                                   ________________________________         ________________________________</w:t>
      </w:r>
    </w:p>
    <w:p w:rsidR="00E6540F" w:rsidRPr="00FE1EB0" w:rsidRDefault="00E6540F" w:rsidP="00E6540F">
      <w:pPr>
        <w:widowControl w:val="0"/>
        <w:autoSpaceDE w:val="0"/>
        <w:autoSpaceDN w:val="0"/>
        <w:adjustRightInd w:val="0"/>
        <w:jc w:val="center"/>
        <w:rPr>
          <w:rFonts w:ascii="Calibri" w:hAnsi="Calibri" w:cs="Calibri"/>
          <w:sz w:val="30"/>
          <w:szCs w:val="30"/>
          <w:lang w:val="es-VE"/>
        </w:rPr>
      </w:pPr>
      <w:r w:rsidRPr="00FE1EB0">
        <w:rPr>
          <w:rFonts w:ascii="Times New Roman" w:hAnsi="Times New Roman" w:cs="Times New Roman"/>
          <w:sz w:val="32"/>
          <w:szCs w:val="32"/>
          <w:lang w:val="es-VE"/>
        </w:rPr>
        <w:t>CARMEN ELVIGIA PORRAS DE ROA      OCTAVIO JOSÉ SISCO RICCIARDI</w:t>
      </w:r>
    </w:p>
    <w:p w:rsidR="00E6540F" w:rsidRPr="00FE1EB0" w:rsidRDefault="00E6540F" w:rsidP="00E6540F">
      <w:pPr>
        <w:widowControl w:val="0"/>
        <w:autoSpaceDE w:val="0"/>
        <w:autoSpaceDN w:val="0"/>
        <w:adjustRightInd w:val="0"/>
        <w:jc w:val="center"/>
        <w:rPr>
          <w:rFonts w:ascii="Calibri" w:hAnsi="Calibri" w:cs="Calibri"/>
          <w:sz w:val="30"/>
          <w:szCs w:val="30"/>
          <w:lang w:val="es-VE"/>
        </w:rPr>
      </w:pPr>
      <w:r w:rsidRPr="00FE1EB0">
        <w:rPr>
          <w:rFonts w:ascii="Times New Roman" w:hAnsi="Times New Roman" w:cs="Times New Roman"/>
          <w:sz w:val="32"/>
          <w:szCs w:val="32"/>
          <w:lang w:val="es-VE"/>
        </w:rPr>
        <w:t> </w:t>
      </w:r>
    </w:p>
    <w:p w:rsidR="00E6540F" w:rsidRPr="00FE1EB0" w:rsidRDefault="00E6540F" w:rsidP="00E6540F">
      <w:pPr>
        <w:widowControl w:val="0"/>
        <w:autoSpaceDE w:val="0"/>
        <w:autoSpaceDN w:val="0"/>
        <w:adjustRightInd w:val="0"/>
        <w:jc w:val="center"/>
        <w:rPr>
          <w:rFonts w:ascii="Calibri" w:hAnsi="Calibri" w:cs="Calibri"/>
          <w:sz w:val="30"/>
          <w:szCs w:val="30"/>
          <w:lang w:val="es-VE"/>
        </w:rPr>
      </w:pPr>
      <w:r w:rsidRPr="00FE1EB0">
        <w:rPr>
          <w:rFonts w:ascii="Times New Roman" w:hAnsi="Times New Roman" w:cs="Times New Roman"/>
          <w:sz w:val="32"/>
          <w:szCs w:val="32"/>
          <w:lang w:val="es-VE"/>
        </w:rPr>
        <w:t> </w:t>
      </w:r>
    </w:p>
    <w:p w:rsidR="00E6540F" w:rsidRPr="00FE1EB0" w:rsidRDefault="00E6540F" w:rsidP="00E6540F">
      <w:pPr>
        <w:widowControl w:val="0"/>
        <w:autoSpaceDE w:val="0"/>
        <w:autoSpaceDN w:val="0"/>
        <w:adjustRightInd w:val="0"/>
        <w:jc w:val="center"/>
        <w:rPr>
          <w:rFonts w:ascii="Calibri" w:hAnsi="Calibri" w:cs="Calibri"/>
          <w:sz w:val="30"/>
          <w:szCs w:val="30"/>
          <w:lang w:val="es-VE"/>
        </w:rPr>
      </w:pPr>
      <w:r w:rsidRPr="00FE1EB0">
        <w:rPr>
          <w:rFonts w:ascii="Times New Roman" w:hAnsi="Times New Roman" w:cs="Times New Roman"/>
          <w:sz w:val="32"/>
          <w:szCs w:val="32"/>
          <w:lang w:val="es-VE"/>
        </w:rPr>
        <w:t>Magistrada y ponente,                                   Magistrada,</w:t>
      </w:r>
    </w:p>
    <w:p w:rsidR="00E6540F" w:rsidRPr="00FE1EB0" w:rsidRDefault="00E6540F" w:rsidP="00E6540F">
      <w:pPr>
        <w:widowControl w:val="0"/>
        <w:autoSpaceDE w:val="0"/>
        <w:autoSpaceDN w:val="0"/>
        <w:adjustRightInd w:val="0"/>
        <w:jc w:val="center"/>
        <w:rPr>
          <w:rFonts w:ascii="Calibri" w:hAnsi="Calibri" w:cs="Calibri"/>
          <w:sz w:val="30"/>
          <w:szCs w:val="30"/>
          <w:lang w:val="es-VE"/>
        </w:rPr>
      </w:pPr>
      <w:r w:rsidRPr="00FE1EB0">
        <w:rPr>
          <w:rFonts w:ascii="Times New Roman" w:hAnsi="Times New Roman" w:cs="Times New Roman"/>
          <w:sz w:val="32"/>
          <w:szCs w:val="32"/>
          <w:lang w:val="es-VE"/>
        </w:rPr>
        <w:t> </w:t>
      </w:r>
    </w:p>
    <w:p w:rsidR="00E6540F" w:rsidRPr="00FE1EB0" w:rsidRDefault="00E6540F" w:rsidP="00E6540F">
      <w:pPr>
        <w:widowControl w:val="0"/>
        <w:autoSpaceDE w:val="0"/>
        <w:autoSpaceDN w:val="0"/>
        <w:adjustRightInd w:val="0"/>
        <w:jc w:val="center"/>
        <w:rPr>
          <w:rFonts w:ascii="Calibri" w:hAnsi="Calibri" w:cs="Calibri"/>
          <w:sz w:val="30"/>
          <w:szCs w:val="30"/>
          <w:lang w:val="es-VE"/>
        </w:rPr>
      </w:pPr>
      <w:r w:rsidRPr="00FE1EB0">
        <w:rPr>
          <w:rFonts w:ascii="Times New Roman" w:hAnsi="Times New Roman" w:cs="Times New Roman"/>
          <w:sz w:val="32"/>
          <w:szCs w:val="32"/>
          <w:lang w:val="es-VE"/>
        </w:rPr>
        <w:t> </w:t>
      </w:r>
    </w:p>
    <w:p w:rsidR="00E6540F" w:rsidRPr="00FE1EB0" w:rsidRDefault="00E6540F" w:rsidP="00E6540F">
      <w:pPr>
        <w:widowControl w:val="0"/>
        <w:autoSpaceDE w:val="0"/>
        <w:autoSpaceDN w:val="0"/>
        <w:adjustRightInd w:val="0"/>
        <w:jc w:val="center"/>
        <w:rPr>
          <w:rFonts w:ascii="Calibri" w:hAnsi="Calibri" w:cs="Calibri"/>
          <w:sz w:val="30"/>
          <w:szCs w:val="30"/>
          <w:lang w:val="es-VE"/>
        </w:rPr>
      </w:pPr>
      <w:r w:rsidRPr="00FE1EB0">
        <w:rPr>
          <w:rFonts w:ascii="Times New Roman" w:hAnsi="Times New Roman" w:cs="Times New Roman"/>
          <w:sz w:val="32"/>
          <w:szCs w:val="32"/>
          <w:lang w:val="es-VE"/>
        </w:rPr>
        <w:t>_______________________________         _________________________________</w:t>
      </w:r>
    </w:p>
    <w:p w:rsidR="00E6540F" w:rsidRPr="00FE1EB0" w:rsidRDefault="00E6540F" w:rsidP="00E6540F">
      <w:pPr>
        <w:widowControl w:val="0"/>
        <w:autoSpaceDE w:val="0"/>
        <w:autoSpaceDN w:val="0"/>
        <w:adjustRightInd w:val="0"/>
        <w:jc w:val="center"/>
        <w:rPr>
          <w:rFonts w:ascii="Calibri" w:hAnsi="Calibri" w:cs="Calibri"/>
          <w:sz w:val="30"/>
          <w:szCs w:val="30"/>
          <w:lang w:val="es-VE"/>
        </w:rPr>
      </w:pPr>
      <w:r w:rsidRPr="00FE1EB0">
        <w:rPr>
          <w:rFonts w:ascii="Times New Roman" w:hAnsi="Times New Roman" w:cs="Times New Roman"/>
          <w:sz w:val="32"/>
          <w:szCs w:val="32"/>
          <w:lang w:val="es-VE"/>
        </w:rPr>
        <w:t>SONIA COROMOTO ARIAS PALACIOS CARMEN ESTHER GÓMEZ CABRERA</w:t>
      </w:r>
    </w:p>
    <w:p w:rsidR="00E6540F" w:rsidRPr="00FE1EB0" w:rsidRDefault="00E6540F" w:rsidP="00E6540F">
      <w:pPr>
        <w:widowControl w:val="0"/>
        <w:autoSpaceDE w:val="0"/>
        <w:autoSpaceDN w:val="0"/>
        <w:adjustRightInd w:val="0"/>
        <w:jc w:val="center"/>
        <w:rPr>
          <w:rFonts w:ascii="Calibri" w:hAnsi="Calibri" w:cs="Calibri"/>
          <w:sz w:val="30"/>
          <w:szCs w:val="30"/>
          <w:lang w:val="es-VE"/>
        </w:rPr>
      </w:pPr>
      <w:r w:rsidRPr="00FE1EB0">
        <w:rPr>
          <w:rFonts w:ascii="Times New Roman" w:hAnsi="Times New Roman" w:cs="Times New Roman"/>
          <w:sz w:val="32"/>
          <w:szCs w:val="32"/>
          <w:lang w:val="es-VE"/>
        </w:rPr>
        <w:t> </w:t>
      </w:r>
    </w:p>
    <w:p w:rsidR="00E6540F" w:rsidRPr="00FE1EB0" w:rsidRDefault="00E6540F" w:rsidP="00E6540F">
      <w:pPr>
        <w:widowControl w:val="0"/>
        <w:autoSpaceDE w:val="0"/>
        <w:autoSpaceDN w:val="0"/>
        <w:adjustRightInd w:val="0"/>
        <w:rPr>
          <w:rFonts w:ascii="Calibri" w:hAnsi="Calibri" w:cs="Calibri"/>
          <w:sz w:val="30"/>
          <w:szCs w:val="30"/>
          <w:lang w:val="es-VE"/>
        </w:rPr>
      </w:pPr>
      <w:r w:rsidRPr="00FE1EB0">
        <w:rPr>
          <w:rFonts w:ascii="Times New Roman" w:hAnsi="Times New Roman" w:cs="Times New Roman"/>
          <w:sz w:val="32"/>
          <w:szCs w:val="32"/>
          <w:lang w:val="es-VE"/>
        </w:rPr>
        <w:t> </w:t>
      </w:r>
    </w:p>
    <w:p w:rsidR="00E6540F" w:rsidRPr="00FE1EB0" w:rsidRDefault="00E6540F" w:rsidP="00E6540F">
      <w:pPr>
        <w:widowControl w:val="0"/>
        <w:autoSpaceDE w:val="0"/>
        <w:autoSpaceDN w:val="0"/>
        <w:adjustRightInd w:val="0"/>
        <w:rPr>
          <w:rFonts w:ascii="Calibri" w:hAnsi="Calibri" w:cs="Calibri"/>
          <w:sz w:val="30"/>
          <w:szCs w:val="30"/>
          <w:lang w:val="es-VE"/>
        </w:rPr>
      </w:pPr>
      <w:r w:rsidRPr="00FE1EB0">
        <w:rPr>
          <w:rFonts w:ascii="Times New Roman" w:hAnsi="Times New Roman" w:cs="Times New Roman"/>
          <w:sz w:val="32"/>
          <w:szCs w:val="32"/>
          <w:lang w:val="es-VE"/>
        </w:rPr>
        <w:t> </w:t>
      </w:r>
    </w:p>
    <w:p w:rsidR="00E6540F" w:rsidRPr="00FE1EB0" w:rsidRDefault="00E6540F" w:rsidP="00E6540F">
      <w:pPr>
        <w:widowControl w:val="0"/>
        <w:autoSpaceDE w:val="0"/>
        <w:autoSpaceDN w:val="0"/>
        <w:adjustRightInd w:val="0"/>
        <w:jc w:val="center"/>
        <w:rPr>
          <w:rFonts w:ascii="Calibri" w:hAnsi="Calibri" w:cs="Calibri"/>
          <w:sz w:val="30"/>
          <w:szCs w:val="30"/>
          <w:lang w:val="es-VE"/>
        </w:rPr>
      </w:pPr>
      <w:r w:rsidRPr="00FE1EB0">
        <w:rPr>
          <w:rFonts w:ascii="Times New Roman" w:hAnsi="Times New Roman" w:cs="Times New Roman"/>
          <w:sz w:val="32"/>
          <w:szCs w:val="32"/>
          <w:lang w:val="es-VE"/>
        </w:rPr>
        <w:t>El Secretario,</w:t>
      </w:r>
    </w:p>
    <w:p w:rsidR="00E6540F" w:rsidRPr="00FE1EB0" w:rsidRDefault="00E6540F" w:rsidP="00E6540F">
      <w:pPr>
        <w:widowControl w:val="0"/>
        <w:autoSpaceDE w:val="0"/>
        <w:autoSpaceDN w:val="0"/>
        <w:adjustRightInd w:val="0"/>
        <w:jc w:val="center"/>
        <w:rPr>
          <w:rFonts w:ascii="Calibri" w:hAnsi="Calibri" w:cs="Calibri"/>
          <w:sz w:val="30"/>
          <w:szCs w:val="30"/>
          <w:lang w:val="es-VE"/>
        </w:rPr>
      </w:pPr>
      <w:r w:rsidRPr="00FE1EB0">
        <w:rPr>
          <w:rFonts w:ascii="Times New Roman" w:hAnsi="Times New Roman" w:cs="Times New Roman"/>
          <w:sz w:val="32"/>
          <w:szCs w:val="32"/>
          <w:lang w:val="es-VE"/>
        </w:rPr>
        <w:t> </w:t>
      </w:r>
    </w:p>
    <w:p w:rsidR="00E6540F" w:rsidRPr="00FE1EB0" w:rsidRDefault="00E6540F" w:rsidP="00E6540F">
      <w:pPr>
        <w:widowControl w:val="0"/>
        <w:autoSpaceDE w:val="0"/>
        <w:autoSpaceDN w:val="0"/>
        <w:adjustRightInd w:val="0"/>
        <w:jc w:val="center"/>
        <w:rPr>
          <w:rFonts w:ascii="Calibri" w:hAnsi="Calibri" w:cs="Calibri"/>
          <w:sz w:val="30"/>
          <w:szCs w:val="30"/>
          <w:lang w:val="es-VE"/>
        </w:rPr>
      </w:pPr>
      <w:r w:rsidRPr="00FE1EB0">
        <w:rPr>
          <w:rFonts w:ascii="Times New Roman" w:hAnsi="Times New Roman" w:cs="Times New Roman"/>
          <w:sz w:val="32"/>
          <w:szCs w:val="32"/>
          <w:lang w:val="es-VE"/>
        </w:rPr>
        <w:t> </w:t>
      </w:r>
    </w:p>
    <w:p w:rsidR="00E6540F" w:rsidRPr="00FE1EB0" w:rsidRDefault="00E6540F" w:rsidP="00E6540F">
      <w:pPr>
        <w:widowControl w:val="0"/>
        <w:autoSpaceDE w:val="0"/>
        <w:autoSpaceDN w:val="0"/>
        <w:adjustRightInd w:val="0"/>
        <w:jc w:val="center"/>
        <w:rPr>
          <w:rFonts w:ascii="Calibri" w:hAnsi="Calibri" w:cs="Calibri"/>
          <w:sz w:val="30"/>
          <w:szCs w:val="30"/>
          <w:lang w:val="es-VE"/>
        </w:rPr>
      </w:pPr>
      <w:r w:rsidRPr="00FE1EB0">
        <w:rPr>
          <w:rFonts w:ascii="Times New Roman" w:hAnsi="Times New Roman" w:cs="Times New Roman"/>
          <w:sz w:val="32"/>
          <w:szCs w:val="32"/>
          <w:lang w:val="es-VE"/>
        </w:rPr>
        <w:t>_____________________________</w:t>
      </w:r>
    </w:p>
    <w:p w:rsidR="00E6540F" w:rsidRPr="00FE1EB0" w:rsidRDefault="00E6540F" w:rsidP="00E6540F">
      <w:pPr>
        <w:widowControl w:val="0"/>
        <w:autoSpaceDE w:val="0"/>
        <w:autoSpaceDN w:val="0"/>
        <w:adjustRightInd w:val="0"/>
        <w:jc w:val="center"/>
        <w:rPr>
          <w:rFonts w:ascii="Calibri" w:hAnsi="Calibri" w:cs="Calibri"/>
          <w:sz w:val="30"/>
          <w:szCs w:val="30"/>
          <w:lang w:val="es-VE"/>
        </w:rPr>
      </w:pPr>
      <w:r w:rsidRPr="00FE1EB0">
        <w:rPr>
          <w:rFonts w:ascii="Times New Roman" w:hAnsi="Times New Roman" w:cs="Times New Roman"/>
          <w:sz w:val="32"/>
          <w:szCs w:val="32"/>
          <w:lang w:val="es-VE"/>
        </w:rPr>
        <w:t>MARCOS ENRIQUE PAREDES</w:t>
      </w:r>
    </w:p>
    <w:p w:rsidR="00E6540F" w:rsidRPr="00FE1EB0" w:rsidRDefault="00E6540F" w:rsidP="00E6540F">
      <w:pPr>
        <w:widowControl w:val="0"/>
        <w:autoSpaceDE w:val="0"/>
        <w:autoSpaceDN w:val="0"/>
        <w:adjustRightInd w:val="0"/>
        <w:rPr>
          <w:rFonts w:ascii="Calibri" w:hAnsi="Calibri" w:cs="Calibri"/>
          <w:sz w:val="30"/>
          <w:szCs w:val="30"/>
          <w:lang w:val="es-VE"/>
        </w:rPr>
      </w:pPr>
      <w:r w:rsidRPr="00FE1EB0">
        <w:rPr>
          <w:rFonts w:ascii="Times New Roman" w:hAnsi="Times New Roman" w:cs="Times New Roman"/>
          <w:sz w:val="32"/>
          <w:szCs w:val="32"/>
          <w:lang w:val="es-VE"/>
        </w:rPr>
        <w:t> </w:t>
      </w:r>
    </w:p>
    <w:p w:rsidR="00E6540F" w:rsidRPr="00FE1EB0" w:rsidRDefault="00E6540F" w:rsidP="00E6540F">
      <w:pPr>
        <w:widowControl w:val="0"/>
        <w:autoSpaceDE w:val="0"/>
        <w:autoSpaceDN w:val="0"/>
        <w:adjustRightInd w:val="0"/>
        <w:rPr>
          <w:rFonts w:ascii="Calibri" w:hAnsi="Calibri" w:cs="Calibri"/>
          <w:sz w:val="30"/>
          <w:szCs w:val="30"/>
          <w:lang w:val="es-VE"/>
        </w:rPr>
      </w:pPr>
      <w:r w:rsidRPr="00FE1EB0">
        <w:rPr>
          <w:rFonts w:ascii="Times New Roman" w:hAnsi="Times New Roman" w:cs="Times New Roman"/>
          <w:sz w:val="32"/>
          <w:szCs w:val="32"/>
          <w:lang w:val="es-VE"/>
        </w:rPr>
        <w:t> </w:t>
      </w:r>
    </w:p>
    <w:p w:rsidR="00E6540F" w:rsidRPr="00FE1EB0" w:rsidRDefault="00E6540F" w:rsidP="00E6540F">
      <w:pPr>
        <w:widowControl w:val="0"/>
        <w:autoSpaceDE w:val="0"/>
        <w:autoSpaceDN w:val="0"/>
        <w:adjustRightInd w:val="0"/>
        <w:rPr>
          <w:rFonts w:ascii="Calibri" w:hAnsi="Calibri" w:cs="Calibri"/>
          <w:sz w:val="30"/>
          <w:szCs w:val="30"/>
          <w:lang w:val="es-VE"/>
        </w:rPr>
      </w:pPr>
      <w:r w:rsidRPr="00FE1EB0">
        <w:rPr>
          <w:rFonts w:ascii="Times New Roman" w:hAnsi="Times New Roman" w:cs="Times New Roman"/>
          <w:sz w:val="32"/>
          <w:szCs w:val="32"/>
          <w:lang w:val="es-VE"/>
        </w:rPr>
        <w:t>R.C. N° AA60-S-2010-001371.</w:t>
      </w:r>
    </w:p>
    <w:p w:rsidR="00E6540F" w:rsidRPr="00FE1EB0" w:rsidRDefault="00E6540F" w:rsidP="00E6540F">
      <w:pPr>
        <w:widowControl w:val="0"/>
        <w:autoSpaceDE w:val="0"/>
        <w:autoSpaceDN w:val="0"/>
        <w:adjustRightInd w:val="0"/>
        <w:jc w:val="both"/>
        <w:rPr>
          <w:rFonts w:ascii="Calibri" w:hAnsi="Calibri" w:cs="Calibri"/>
          <w:sz w:val="30"/>
          <w:szCs w:val="30"/>
          <w:lang w:val="es-VE"/>
        </w:rPr>
      </w:pPr>
      <w:r w:rsidRPr="00FE1EB0">
        <w:rPr>
          <w:rFonts w:ascii="Times New Roman" w:hAnsi="Times New Roman" w:cs="Times New Roman"/>
          <w:b/>
          <w:bCs/>
          <w:sz w:val="32"/>
          <w:szCs w:val="32"/>
          <w:lang w:val="es-VE"/>
        </w:rPr>
        <w:t>Nota</w:t>
      </w:r>
      <w:r w:rsidRPr="00FE1EB0">
        <w:rPr>
          <w:rFonts w:ascii="Times New Roman" w:hAnsi="Times New Roman" w:cs="Times New Roman"/>
          <w:sz w:val="32"/>
          <w:szCs w:val="32"/>
          <w:lang w:val="es-VE"/>
        </w:rPr>
        <w:t>: Publicada en su fecha a las</w:t>
      </w:r>
    </w:p>
    <w:p w:rsidR="00E6540F" w:rsidRDefault="00E6540F" w:rsidP="00FA09C6">
      <w:pPr>
        <w:jc w:val="right"/>
      </w:pPr>
      <w:r w:rsidRPr="00FE1EB0">
        <w:rPr>
          <w:rFonts w:ascii="Times New Roman" w:hAnsi="Times New Roman" w:cs="Times New Roman"/>
          <w:sz w:val="32"/>
          <w:szCs w:val="32"/>
          <w:lang w:val="es-VE"/>
        </w:rPr>
        <w:t xml:space="preserve">                                                                                  </w:t>
      </w:r>
      <w:r>
        <w:rPr>
          <w:rFonts w:ascii="Times New Roman" w:hAnsi="Times New Roman" w:cs="Times New Roman"/>
          <w:sz w:val="32"/>
          <w:szCs w:val="32"/>
          <w:lang w:val="en-US"/>
        </w:rPr>
        <w:t>El Secretario,</w:t>
      </w:r>
      <w:r w:rsidR="00FA09C6" w:rsidRPr="00FA09C6">
        <w:rPr>
          <w:noProof/>
          <w:lang w:val="es-VE" w:eastAsia="es-VE"/>
        </w:rPr>
        <w:t xml:space="preserve"> </w:t>
      </w:r>
      <w:r w:rsidR="00FA09C6">
        <w:rPr>
          <w:noProof/>
          <w:lang w:val="es-VE" w:eastAsia="es-VE"/>
        </w:rPr>
        <w:drawing>
          <wp:inline distT="0" distB="0" distL="0" distR="0" wp14:anchorId="2DAACB6F" wp14:editId="0C4B370C">
            <wp:extent cx="609600" cy="742950"/>
            <wp:effectExtent l="0" t="0" r="0" b="0"/>
            <wp:docPr id="43" name="Imagen 4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sectPr w:rsidR="00E6540F" w:rsidSect="000802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0F"/>
    <w:rsid w:val="0007429A"/>
    <w:rsid w:val="000802CB"/>
    <w:rsid w:val="000C165E"/>
    <w:rsid w:val="004C5FCF"/>
    <w:rsid w:val="00835ED3"/>
    <w:rsid w:val="009F2694"/>
    <w:rsid w:val="00E6540F"/>
    <w:rsid w:val="00FA09C6"/>
    <w:rsid w:val="00FE1EB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395F6F2-CD74-4541-A2BB-AAE2019B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540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654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aaa"/><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_to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A8DC7-3D24-4A78-80CE-DB038A37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3626</Words>
  <Characters>19945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Erick</cp:lastModifiedBy>
  <cp:revision>5</cp:revision>
  <dcterms:created xsi:type="dcterms:W3CDTF">2013-05-01T20:31:00Z</dcterms:created>
  <dcterms:modified xsi:type="dcterms:W3CDTF">2013-10-10T05:58:00Z</dcterms:modified>
</cp:coreProperties>
</file>