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664DFD"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5"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3B2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HcK7w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664DFD">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" filled="f" stroked="f">
                <v:path arrowok="t"/>
                <v:textbo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BD0E25"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" stroked="f">
                <v:path arrowok="t"/>
                <v:textbox>
                  <w:txbxContent>
                    <w:p w:rsidR="003734F8" w:rsidRDefault="00BD0E25"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10"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664DFD">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05/12/2019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Político Administrativa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Bárbara César</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María Tórres contra Embajada de Ecuador</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0785</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05/12/2019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Político Administrativa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Bárbara César</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María Tórres contra Embajada de Ecuador</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BD0E25">
                              <w:rPr>
                                <w:sz w:val="24"/>
                                <w:lang w:val="es-VE"/>
                              </w:rPr>
                              <w:t>0785</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WJlxgAAAN8AAAAPAAAAZHJzL2Rvd25yZXYueG1sRI9Pi8Iw&#13;&#10;FMTvC/sdwlvY2zZV2E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riViZc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AE3E1D">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BD0E25" w:rsidP="009931B6">
                                  <w:pPr>
                                    <w:pStyle w:val="TableParagraph"/>
                                    <w:ind w:right="299"/>
                                    <w:jc w:val="both"/>
                                    <w:rPr>
                                      <w:sz w:val="24"/>
                                      <w:lang w:val="es-VE"/>
                                    </w:rPr>
                                  </w:pPr>
                                  <w:r>
                                    <w:rPr>
                                      <w:sz w:val="24"/>
                                      <w:lang w:val="es-VE"/>
                                    </w:rPr>
                                    <w:t>Jurisdicción laboral y embajadas</w:t>
                                  </w:r>
                                </w:p>
                              </w:tc>
                              <w:tc>
                                <w:tcPr>
                                  <w:tcW w:w="6030" w:type="dxa"/>
                                </w:tcPr>
                                <w:p w:rsidR="003734F8" w:rsidRPr="009931B6" w:rsidRDefault="00BD0E25" w:rsidP="009931B6">
                                  <w:pPr>
                                    <w:pStyle w:val="TableParagraph"/>
                                    <w:ind w:left="254"/>
                                    <w:jc w:val="both"/>
                                    <w:rPr>
                                      <w:sz w:val="24"/>
                                      <w:lang w:val="es-VE"/>
                                    </w:rPr>
                                  </w:pPr>
                                  <w:r>
                                    <w:rPr>
                                      <w:sz w:val="24"/>
                                      <w:lang w:val="es-VE"/>
                                    </w:rPr>
                                    <w:t>Caso en el que la Sala Político-Administrativa señala que los tribunales venezolanos tienen jurisdicción para conocer de demandas laborales incoadas contra Embajadas extranjeras radicadas en el territorio de la República.</w:t>
                                  </w: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F67357">
                                  <w:pPr>
                                    <w:pStyle w:val="TableParagraph"/>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BD0E25" w:rsidP="009931B6">
                            <w:pPr>
                              <w:pStyle w:val="TableParagraph"/>
                              <w:ind w:right="299"/>
                              <w:jc w:val="both"/>
                              <w:rPr>
                                <w:sz w:val="24"/>
                                <w:lang w:val="es-VE"/>
                              </w:rPr>
                            </w:pPr>
                            <w:r>
                              <w:rPr>
                                <w:sz w:val="24"/>
                                <w:lang w:val="es-VE"/>
                              </w:rPr>
                              <w:t>Jurisdicción laboral y embajadas</w:t>
                            </w:r>
                          </w:p>
                        </w:tc>
                        <w:tc>
                          <w:tcPr>
                            <w:tcW w:w="6030" w:type="dxa"/>
                          </w:tcPr>
                          <w:p w:rsidR="003734F8" w:rsidRPr="009931B6" w:rsidRDefault="00BD0E25" w:rsidP="009931B6">
                            <w:pPr>
                              <w:pStyle w:val="TableParagraph"/>
                              <w:ind w:left="254"/>
                              <w:jc w:val="both"/>
                              <w:rPr>
                                <w:sz w:val="24"/>
                                <w:lang w:val="es-VE"/>
                              </w:rPr>
                            </w:pPr>
                            <w:r>
                              <w:rPr>
                                <w:sz w:val="24"/>
                                <w:lang w:val="es-VE"/>
                              </w:rPr>
                              <w:t>Caso en el que la Sala Político-Administrativa señala que los tribunales venezolanos tienen jurisdicción para conocer de demandas laborales incoadas contra Embajadas extranjeras radicadas en el territorio de la República.</w:t>
                            </w: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F67357">
                            <w:pPr>
                              <w:pStyle w:val="TableParagraph"/>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BD0E25" w:rsidRPr="00BD0E25" w:rsidTr="00BD0E25">
        <w:trPr>
          <w:tblCellSpacing w:w="15" w:type="dxa"/>
          <w:jc w:val="center"/>
        </w:trPr>
        <w:tc>
          <w:tcPr>
            <w:tcW w:w="0" w:type="auto"/>
            <w:vAlign w:val="center"/>
            <w:hideMark/>
          </w:tcPr>
          <w:p w:rsidR="00BD0E25" w:rsidRPr="00BD0E25" w:rsidRDefault="00BD0E25" w:rsidP="00BD0E25">
            <w:pPr>
              <w:widowControl/>
              <w:autoSpaceDE/>
              <w:autoSpaceDN/>
              <w:rPr>
                <w:rFonts w:ascii="-webkit-standard" w:eastAsia="Times New Roman" w:hAnsi="-webkit-standard" w:cs="Times New Roman"/>
                <w:sz w:val="24"/>
                <w:szCs w:val="24"/>
                <w:lang w:val="es-VE" w:eastAsia="es-ES_tradnl"/>
              </w:rPr>
            </w:pPr>
            <w:r w:rsidRPr="00BD0E25">
              <w:rPr>
                <w:rFonts w:ascii="-webkit-standard" w:eastAsia="Times New Roman" w:hAnsi="-webkit-standard" w:cs="Times New Roman"/>
                <w:sz w:val="24"/>
                <w:szCs w:val="24"/>
                <w:lang w:val="es-VE" w:eastAsia="es-ES_tradnl"/>
              </w:rPr>
              <w:fldChar w:fldCharType="begin"/>
            </w:r>
            <w:r w:rsidRPr="00BD0E25">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BD0E25">
              <w:rPr>
                <w:rFonts w:ascii="-webkit-standard" w:eastAsia="Times New Roman" w:hAnsi="-webkit-standard" w:cs="Times New Roman"/>
                <w:sz w:val="24"/>
                <w:szCs w:val="24"/>
                <w:lang w:val="es-VE" w:eastAsia="es-ES_tradnl"/>
              </w:rPr>
              <w:fldChar w:fldCharType="separate"/>
            </w:r>
            <w:r w:rsidRPr="00BD0E25">
              <w:rPr>
                <w:rFonts w:ascii="-webkit-standard" w:eastAsia="Times New Roman" w:hAnsi="-webkit-standard" w:cs="Times New Roman"/>
                <w:noProof/>
                <w:sz w:val="24"/>
                <w:szCs w:val="24"/>
                <w:lang w:val="es-VE" w:eastAsia="es-ES_tradnl"/>
              </w:rPr>
              <w:drawing>
                <wp:inline distT="0" distB="0" distL="0" distR="0">
                  <wp:extent cx="3045460" cy="306197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061970"/>
                          </a:xfrm>
                          <a:prstGeom prst="rect">
                            <a:avLst/>
                          </a:prstGeom>
                          <a:noFill/>
                          <a:ln>
                            <a:noFill/>
                          </a:ln>
                        </pic:spPr>
                      </pic:pic>
                    </a:graphicData>
                  </a:graphic>
                </wp:inline>
              </w:drawing>
            </w:r>
            <w:r w:rsidRPr="00BD0E25">
              <w:rPr>
                <w:rFonts w:ascii="-webkit-standard" w:eastAsia="Times New Roman" w:hAnsi="-webkit-standard" w:cs="Times New Roman"/>
                <w:sz w:val="24"/>
                <w:szCs w:val="24"/>
                <w:lang w:val="es-VE" w:eastAsia="es-ES_tradnl"/>
              </w:rPr>
              <w:fldChar w:fldCharType="end"/>
            </w:r>
          </w:p>
        </w:tc>
      </w:tr>
    </w:tbl>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Magistrada Ponente: </w:t>
      </w:r>
      <w:r w:rsidRPr="00BD0E25">
        <w:rPr>
          <w:rFonts w:ascii="Times New Roman" w:eastAsia="Times New Roman" w:hAnsi="Times New Roman" w:cs="Times New Roman"/>
          <w:b/>
          <w:bCs/>
          <w:color w:val="000000"/>
          <w:sz w:val="24"/>
          <w:szCs w:val="24"/>
          <w:lang w:val="es-VE" w:eastAsia="es-ES_tradnl"/>
        </w:rPr>
        <w:t>BÁRBARA GABRIELA CÉSAR SIERO</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VE" w:eastAsia="es-ES_tradnl"/>
        </w:rPr>
        <w:t>Exp. Nro. 2019-0266</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VE"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Mediante Oficio S/N de fecha 14 de octubre de 2019, recibido en esta Sala Político-Administrativa el 4 de noviembre de ese mismo año, el Tribunal Décimo Tercero (13°) de Primera Instancia de Sustanciación, Mediación y Ejecución del Circuito Judicial del Trabajo del Área Metropolitana de Caracas, remitió el expediente contentivo de la demanda por “</w:t>
      </w:r>
      <w:r w:rsidRPr="00BD0E25">
        <w:rPr>
          <w:rFonts w:ascii="Times New Roman" w:eastAsia="Times New Roman" w:hAnsi="Times New Roman" w:cs="Times New Roman"/>
          <w:i/>
          <w:iCs/>
          <w:color w:val="000000"/>
          <w:sz w:val="24"/>
          <w:szCs w:val="24"/>
          <w:lang w:val="es-VE" w:eastAsia="es-ES_tradnl"/>
        </w:rPr>
        <w:t>cobro de prestaciones sociales y otros conceptos, derivados de la relación laboral</w:t>
      </w:r>
      <w:r w:rsidRPr="00BD0E25">
        <w:rPr>
          <w:rFonts w:ascii="Times New Roman" w:eastAsia="Times New Roman" w:hAnsi="Times New Roman" w:cs="Times New Roman"/>
          <w:color w:val="000000"/>
          <w:sz w:val="24"/>
          <w:szCs w:val="24"/>
          <w:lang w:val="es-VE" w:eastAsia="es-ES_tradnl"/>
        </w:rPr>
        <w:t>”, interpuesta por la abogada Aileen Perdomo de Moya, inscrita en el INPREABOGADO bajo el Nro. 130.507, actuando con el carácter de apoderada judicial de la ciudadana </w:t>
      </w:r>
      <w:r w:rsidRPr="00BD0E25">
        <w:rPr>
          <w:rFonts w:ascii="Times New Roman" w:eastAsia="Times New Roman" w:hAnsi="Times New Roman" w:cs="Times New Roman"/>
          <w:b/>
          <w:bCs/>
          <w:color w:val="000000"/>
          <w:sz w:val="24"/>
          <w:szCs w:val="24"/>
          <w:lang w:val="es-VE" w:eastAsia="es-ES_tradnl"/>
        </w:rPr>
        <w:t>MARÍA AUGUSTA TORRES VILLAVICENCIO</w:t>
      </w:r>
      <w:r w:rsidRPr="00BD0E25">
        <w:rPr>
          <w:rFonts w:ascii="Times New Roman" w:eastAsia="Times New Roman" w:hAnsi="Times New Roman" w:cs="Times New Roman"/>
          <w:color w:val="000000"/>
          <w:sz w:val="24"/>
          <w:szCs w:val="24"/>
          <w:lang w:val="es-VE" w:eastAsia="es-ES_tradnl"/>
        </w:rPr>
        <w:t>, titular de la cédula de identidad Nro. E-82.200.867, contra la </w:t>
      </w:r>
      <w:r w:rsidRPr="00BD0E25">
        <w:rPr>
          <w:rFonts w:ascii="Times New Roman" w:eastAsia="Times New Roman" w:hAnsi="Times New Roman" w:cs="Times New Roman"/>
          <w:b/>
          <w:bCs/>
          <w:color w:val="000000"/>
          <w:sz w:val="24"/>
          <w:szCs w:val="24"/>
          <w:lang w:val="es-VE" w:eastAsia="es-ES_tradnl"/>
        </w:rPr>
        <w:t>EMBAJADA DE LA REPÚBLICA DE ECUADOR EN VENEZUELA</w:t>
      </w:r>
      <w:r w:rsidRPr="00BD0E25">
        <w:rPr>
          <w:rFonts w:ascii="Times New Roman" w:eastAsia="Times New Roman" w:hAnsi="Times New Roman" w:cs="Times New Roman"/>
          <w:color w:val="000000"/>
          <w:sz w:val="24"/>
          <w:szCs w:val="24"/>
          <w:lang w:val="es-VE" w:eastAsia="es-ES_tradnl"/>
        </w:rPr>
        <w:t>.</w:t>
      </w:r>
    </w:p>
    <w:p w:rsidR="00BD0E25" w:rsidRPr="00BD0E25" w:rsidRDefault="00BD0E25" w:rsidP="00BD0E25">
      <w:pPr>
        <w:widowControl/>
        <w:autoSpaceDE/>
        <w:autoSpaceDN/>
        <w:spacing w:before="200" w:after="200" w:line="330" w:lineRule="atLeast"/>
        <w:ind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_tradnl" w:eastAsia="es-ES_tradnl"/>
        </w:rPr>
        <w:t>  </w:t>
      </w:r>
      <w:r w:rsidRPr="00BD0E25">
        <w:rPr>
          <w:rFonts w:ascii="Times New Roman" w:eastAsia="Times New Roman" w:hAnsi="Times New Roman" w:cs="Times New Roman"/>
          <w:color w:val="000000"/>
          <w:sz w:val="24"/>
          <w:szCs w:val="24"/>
          <w:lang w:val="es-ES" w:eastAsia="es-ES_tradnl"/>
        </w:rPr>
        <w:t xml:space="preserve">Dicha remisión se efectuó para que esta Sala se pronuncie acerca del recurso de regulación de jurisdicción planteado por la abogada Andrea </w:t>
      </w:r>
      <w:proofErr w:type="spellStart"/>
      <w:r w:rsidRPr="00BD0E25">
        <w:rPr>
          <w:rFonts w:ascii="Times New Roman" w:eastAsia="Times New Roman" w:hAnsi="Times New Roman" w:cs="Times New Roman"/>
          <w:color w:val="000000"/>
          <w:sz w:val="24"/>
          <w:szCs w:val="24"/>
          <w:lang w:val="es-ES" w:eastAsia="es-ES_tradnl"/>
        </w:rPr>
        <w:t>Pierina</w:t>
      </w:r>
      <w:proofErr w:type="spellEnd"/>
      <w:r w:rsidRPr="00BD0E25">
        <w:rPr>
          <w:rFonts w:ascii="Times New Roman" w:eastAsia="Times New Roman" w:hAnsi="Times New Roman" w:cs="Times New Roman"/>
          <w:color w:val="000000"/>
          <w:sz w:val="24"/>
          <w:szCs w:val="24"/>
          <w:lang w:val="es-ES" w:eastAsia="es-ES_tradnl"/>
        </w:rPr>
        <w:t xml:space="preserve"> </w:t>
      </w:r>
      <w:proofErr w:type="spellStart"/>
      <w:r w:rsidRPr="00BD0E25">
        <w:rPr>
          <w:rFonts w:ascii="Times New Roman" w:eastAsia="Times New Roman" w:hAnsi="Times New Roman" w:cs="Times New Roman"/>
          <w:color w:val="000000"/>
          <w:sz w:val="24"/>
          <w:szCs w:val="24"/>
          <w:lang w:val="es-ES" w:eastAsia="es-ES_tradnl"/>
        </w:rPr>
        <w:t>Colmenárez</w:t>
      </w:r>
      <w:proofErr w:type="spellEnd"/>
      <w:r w:rsidRPr="00BD0E25">
        <w:rPr>
          <w:rFonts w:ascii="Times New Roman" w:eastAsia="Times New Roman" w:hAnsi="Times New Roman" w:cs="Times New Roman"/>
          <w:color w:val="000000"/>
          <w:sz w:val="24"/>
          <w:szCs w:val="24"/>
          <w:lang w:val="es-ES" w:eastAsia="es-ES_tradnl"/>
        </w:rPr>
        <w:t xml:space="preserve"> Rodríguez, inscrita en el INPREABOGADO bajo el Nro. 289.016, actuando en su carácter de representante judicial de la parte accionada, contra la sentencia del 19 de septiembre de 2019, por medio de la cual el prenombrado órgano jurisdiccional declaró -entre otras cosas- que el Poder Judicial Venezolano tiene jurisdicción para conocer del presente asunto. </w:t>
      </w:r>
    </w:p>
    <w:p w:rsidR="00BD0E25" w:rsidRPr="00BD0E25" w:rsidRDefault="00BD0E25" w:rsidP="00BD0E25">
      <w:pPr>
        <w:widowControl/>
        <w:autoSpaceDE/>
        <w:autoSpaceDN/>
        <w:spacing w:before="200" w:after="200" w:line="330" w:lineRule="atLeast"/>
        <w:ind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Por auto del 7 de noviembre de 2019, se dio cuenta en Sala y se designó ponente a la Magistrada </w:t>
      </w:r>
      <w:r w:rsidRPr="00BD0E25">
        <w:rPr>
          <w:rFonts w:ascii="Times New Roman" w:eastAsia="Times New Roman" w:hAnsi="Times New Roman" w:cs="Times New Roman"/>
          <w:b/>
          <w:bCs/>
          <w:color w:val="000000"/>
          <w:sz w:val="24"/>
          <w:szCs w:val="24"/>
          <w:lang w:val="es-ES" w:eastAsia="es-ES_tradnl"/>
        </w:rPr>
        <w:t>BÁRBARA GABRIELA CÉSAR SIERO</w:t>
      </w:r>
      <w:r w:rsidRPr="00BD0E25">
        <w:rPr>
          <w:rFonts w:ascii="Times New Roman" w:eastAsia="Times New Roman" w:hAnsi="Times New Roman" w:cs="Times New Roman"/>
          <w:color w:val="000000"/>
          <w:sz w:val="24"/>
          <w:szCs w:val="24"/>
          <w:lang w:val="es-ES" w:eastAsia="es-ES_tradnl"/>
        </w:rPr>
        <w:t>, a los fines de decidir el referido recurso. </w:t>
      </w:r>
    </w:p>
    <w:p w:rsidR="00BD0E25" w:rsidRPr="00BD0E25" w:rsidRDefault="00BD0E25" w:rsidP="00BD0E25">
      <w:pPr>
        <w:widowControl/>
        <w:autoSpaceDE/>
        <w:autoSpaceDN/>
        <w:spacing w:before="200" w:after="200" w:line="330" w:lineRule="atLeast"/>
        <w:ind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Para decidir, la Sala observa:</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 w:eastAsia="es-ES_tradnl"/>
        </w:rPr>
        <w:t> </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 w:eastAsia="es-ES_tradnl"/>
        </w:rPr>
        <w:t>I</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 w:eastAsia="es-ES_tradnl"/>
        </w:rPr>
        <w:t>ANTECEDENTES</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VE" w:eastAsia="es-ES_tradnl"/>
        </w:rPr>
        <w:t> </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xml:space="preserve">En fecha 22 de abril de 2019, la abogada </w:t>
      </w:r>
      <w:proofErr w:type="spellStart"/>
      <w:r w:rsidRPr="00BD0E25">
        <w:rPr>
          <w:rFonts w:ascii="Times New Roman" w:eastAsia="Times New Roman" w:hAnsi="Times New Roman" w:cs="Times New Roman"/>
          <w:color w:val="000000"/>
          <w:sz w:val="24"/>
          <w:szCs w:val="24"/>
          <w:lang w:val="es-ES" w:eastAsia="es-ES_tradnl"/>
        </w:rPr>
        <w:t>Aileen</w:t>
      </w:r>
      <w:proofErr w:type="spellEnd"/>
      <w:r w:rsidRPr="00BD0E25">
        <w:rPr>
          <w:rFonts w:ascii="Times New Roman" w:eastAsia="Times New Roman" w:hAnsi="Times New Roman" w:cs="Times New Roman"/>
          <w:color w:val="000000"/>
          <w:sz w:val="24"/>
          <w:szCs w:val="24"/>
          <w:lang w:val="es-ES" w:eastAsia="es-ES_tradnl"/>
        </w:rPr>
        <w:t xml:space="preserve"> Perdomo de Moya actuando en su carácter de apoderada judicial de la ciudadana María Augusta Torres Villavicencio, ambas previamente identificadas, interpuso ante la Unidad de Recepción y Distribución de Documentos (U.R.D.D.) del Circuito Judicial del Trabajo del Área </w:t>
      </w:r>
      <w:r w:rsidRPr="00BD0E25">
        <w:rPr>
          <w:rFonts w:ascii="Times New Roman" w:eastAsia="Times New Roman" w:hAnsi="Times New Roman" w:cs="Times New Roman"/>
          <w:color w:val="000000"/>
          <w:sz w:val="24"/>
          <w:szCs w:val="24"/>
          <w:lang w:val="es-ES" w:eastAsia="es-ES_tradnl"/>
        </w:rPr>
        <w:lastRenderedPageBreak/>
        <w:t>Metropolitana de Caracas, demanda </w:t>
      </w:r>
      <w:r w:rsidRPr="00BD0E25">
        <w:rPr>
          <w:rFonts w:ascii="Times New Roman" w:eastAsia="Times New Roman" w:hAnsi="Times New Roman" w:cs="Times New Roman"/>
          <w:color w:val="000000"/>
          <w:sz w:val="24"/>
          <w:szCs w:val="24"/>
          <w:lang w:val="es-VE" w:eastAsia="es-ES_tradnl"/>
        </w:rPr>
        <w:t>por “</w:t>
      </w:r>
      <w:r w:rsidRPr="00BD0E25">
        <w:rPr>
          <w:rFonts w:ascii="Times New Roman" w:eastAsia="Times New Roman" w:hAnsi="Times New Roman" w:cs="Times New Roman"/>
          <w:i/>
          <w:iCs/>
          <w:color w:val="000000"/>
          <w:sz w:val="24"/>
          <w:szCs w:val="24"/>
          <w:lang w:val="es-VE" w:eastAsia="es-ES_tradnl"/>
        </w:rPr>
        <w:t>cobro de prestaciones sociales y otros conceptos, derivados de la relación laboral</w:t>
      </w:r>
      <w:r w:rsidRPr="00BD0E25">
        <w:rPr>
          <w:rFonts w:ascii="Times New Roman" w:eastAsia="Times New Roman" w:hAnsi="Times New Roman" w:cs="Times New Roman"/>
          <w:color w:val="000000"/>
          <w:sz w:val="24"/>
          <w:szCs w:val="24"/>
          <w:lang w:val="es-VE" w:eastAsia="es-ES_tradnl"/>
        </w:rPr>
        <w:t>”, contra la Embajada de la República de Ecuador en Venezuela, en los términos siguientes:</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Indicó que en fecha 1° de agosto de 1995, su representada fue contratada por la Embajada de la República de Ecuador en Venezuela, en el cargo de “</w:t>
      </w:r>
      <w:r w:rsidRPr="00BD0E25">
        <w:rPr>
          <w:rFonts w:ascii="Times New Roman" w:eastAsia="Times New Roman" w:hAnsi="Times New Roman" w:cs="Times New Roman"/>
          <w:i/>
          <w:iCs/>
          <w:color w:val="000000"/>
          <w:sz w:val="24"/>
          <w:szCs w:val="24"/>
          <w:lang w:val="es-ES" w:eastAsia="es-ES_tradnl"/>
        </w:rPr>
        <w:t>Secretaria</w:t>
      </w:r>
      <w:r w:rsidRPr="00BD0E25">
        <w:rPr>
          <w:rFonts w:ascii="Times New Roman" w:eastAsia="Times New Roman" w:hAnsi="Times New Roman" w:cs="Times New Roman"/>
          <w:color w:val="000000"/>
          <w:sz w:val="24"/>
          <w:szCs w:val="24"/>
          <w:lang w:val="es-ES" w:eastAsia="es-ES_tradnl"/>
        </w:rPr>
        <w:t> </w:t>
      </w:r>
      <w:r w:rsidRPr="00BD0E25">
        <w:rPr>
          <w:rFonts w:ascii="Times New Roman" w:eastAsia="Times New Roman" w:hAnsi="Times New Roman" w:cs="Times New Roman"/>
          <w:i/>
          <w:iCs/>
          <w:color w:val="000000"/>
          <w:sz w:val="24"/>
          <w:szCs w:val="24"/>
          <w:lang w:val="es-ES" w:eastAsia="es-ES_tradnl"/>
        </w:rPr>
        <w:t>de la Misión Diplomática de Ecuador</w:t>
      </w:r>
      <w:r w:rsidRPr="00BD0E25">
        <w:rPr>
          <w:rFonts w:ascii="Times New Roman" w:eastAsia="Times New Roman" w:hAnsi="Times New Roman" w:cs="Times New Roman"/>
          <w:color w:val="000000"/>
          <w:sz w:val="24"/>
          <w:szCs w:val="24"/>
          <w:lang w:val="es-ES" w:eastAsia="es-ES_tradnl"/>
        </w:rPr>
        <w:t>”, siendo su horario laboral de lunes a viernes desde las nueve de la mañana (09:00 a.m.) hasta las cinco y media de la tarde (5:30 p.m.), devengando un salario mensual de “(…) </w:t>
      </w:r>
      <w:r w:rsidRPr="00BD0E25">
        <w:rPr>
          <w:rFonts w:ascii="Times New Roman" w:eastAsia="Times New Roman" w:hAnsi="Times New Roman" w:cs="Times New Roman"/>
          <w:i/>
          <w:iCs/>
          <w:color w:val="000000"/>
          <w:sz w:val="24"/>
          <w:szCs w:val="24"/>
          <w:lang w:val="es-ES" w:eastAsia="es-ES_tradnl"/>
        </w:rPr>
        <w:t>UN MIL QUINIENTOS DÓLARES DE LOS ESTADOS UNIDOS DE NORTEAMÉRICA ($1.500,00) </w:t>
      </w: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Señaló que el 30 de noviembre de 2018, su mandante fue despedida de manera injustificada “</w:t>
      </w:r>
      <w:r w:rsidRPr="00BD0E25">
        <w:rPr>
          <w:rFonts w:ascii="Times New Roman" w:eastAsia="Times New Roman" w:hAnsi="Times New Roman" w:cs="Times New Roman"/>
          <w:i/>
          <w:iCs/>
          <w:color w:val="000000"/>
          <w:sz w:val="24"/>
          <w:szCs w:val="24"/>
          <w:lang w:val="es-ES" w:eastAsia="es-ES_tradnl"/>
        </w:rPr>
        <w:t>después de 23 años de servicio ininterrumpidos</w:t>
      </w:r>
      <w:r w:rsidRPr="00BD0E25">
        <w:rPr>
          <w:rFonts w:ascii="Times New Roman" w:eastAsia="Times New Roman" w:hAnsi="Times New Roman" w:cs="Times New Roman"/>
          <w:color w:val="000000"/>
          <w:sz w:val="24"/>
          <w:szCs w:val="24"/>
          <w:lang w:val="es-ES" w:eastAsia="es-ES_tradnl"/>
        </w:rPr>
        <w:t>”, siendo que gozaba de “(…) </w:t>
      </w:r>
      <w:r w:rsidRPr="00BD0E25">
        <w:rPr>
          <w:rFonts w:ascii="Times New Roman" w:eastAsia="Times New Roman" w:hAnsi="Times New Roman" w:cs="Times New Roman"/>
          <w:i/>
          <w:iCs/>
          <w:color w:val="000000"/>
          <w:sz w:val="24"/>
          <w:szCs w:val="24"/>
          <w:lang w:val="es-ES" w:eastAsia="es-ES_tradnl"/>
        </w:rPr>
        <w:t>Estabilidad e Inamovilidad Laboral, establecidas en los artículos 85 y 86 de la Ley Orgánica del Trabajo, las Trabajadoras y los Trabajadores </w:t>
      </w:r>
      <w:r w:rsidRPr="00BD0E25">
        <w:rPr>
          <w:rFonts w:ascii="Times New Roman" w:eastAsia="Times New Roman" w:hAnsi="Times New Roman" w:cs="Times New Roman"/>
          <w:color w:val="000000"/>
          <w:sz w:val="24"/>
          <w:szCs w:val="24"/>
          <w:lang w:val="es-ES" w:eastAsia="es-ES_tradnl"/>
        </w:rPr>
        <w:t>(…) </w:t>
      </w:r>
      <w:r w:rsidRPr="00BD0E25">
        <w:rPr>
          <w:rFonts w:ascii="Times New Roman" w:eastAsia="Times New Roman" w:hAnsi="Times New Roman" w:cs="Times New Roman"/>
          <w:i/>
          <w:iCs/>
          <w:color w:val="000000"/>
          <w:sz w:val="24"/>
          <w:szCs w:val="24"/>
          <w:lang w:val="es-ES" w:eastAsia="es-ES_tradnl"/>
        </w:rPr>
        <w:t>y en el Decreto Presidencial N° 2158, publicado en la Gaceta Oficial 6.207, de fecha 28 de diciembre del año 2015 y ratificado en Decreto Presidencial N° 3.708, publicado en la Gaceta Oficial 6.419 de fecha 28 de diciembre de 2018, las cuales protegen a todo trabajador de cualquier medida de despido injustificado </w:t>
      </w:r>
      <w:r w:rsidRPr="00BD0E25">
        <w:rPr>
          <w:rFonts w:ascii="Times New Roman" w:eastAsia="Times New Roman" w:hAnsi="Times New Roman" w:cs="Times New Roman"/>
          <w:color w:val="000000"/>
          <w:sz w:val="24"/>
          <w:szCs w:val="24"/>
          <w:lang w:val="es-ES" w:eastAsia="es-ES_tradnl"/>
        </w:rPr>
        <w:t>(…)”.</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Agregó que durante la relación laboral su representada cumplió con todas las labores y tareas asignadas al cargo que ocupaba “(…) </w:t>
      </w:r>
      <w:r w:rsidRPr="00BD0E25">
        <w:rPr>
          <w:rFonts w:ascii="Times New Roman" w:eastAsia="Times New Roman" w:hAnsi="Times New Roman" w:cs="Times New Roman"/>
          <w:i/>
          <w:iCs/>
          <w:color w:val="000000"/>
          <w:sz w:val="24"/>
          <w:szCs w:val="24"/>
          <w:lang w:val="es-ES" w:eastAsia="es-ES_tradnl"/>
        </w:rPr>
        <w:t>siempre subordinada, cumpliendo su horario y asumiendo responsabilidades impuestas por cada Embajador de turno y demás Diplomáticos que estuvieron a lo largo de toda su relación laboral </w:t>
      </w: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Luego de realizar una serie de consideraciones sobre el “(…) </w:t>
      </w:r>
      <w:r w:rsidRPr="00BD0E25">
        <w:rPr>
          <w:rFonts w:ascii="Times New Roman" w:eastAsia="Times New Roman" w:hAnsi="Times New Roman" w:cs="Times New Roman"/>
          <w:i/>
          <w:iCs/>
          <w:color w:val="000000"/>
          <w:sz w:val="24"/>
          <w:szCs w:val="24"/>
          <w:lang w:val="es-ES" w:eastAsia="es-ES_tradnl"/>
        </w:rPr>
        <w:t>artículo 31 de la Convención de Viena sobre Relaciones Diplomáticas </w:t>
      </w:r>
      <w:r w:rsidRPr="00BD0E25">
        <w:rPr>
          <w:rFonts w:ascii="Times New Roman" w:eastAsia="Times New Roman" w:hAnsi="Times New Roman" w:cs="Times New Roman"/>
          <w:color w:val="000000"/>
          <w:sz w:val="24"/>
          <w:szCs w:val="24"/>
          <w:lang w:val="es-ES" w:eastAsia="es-ES_tradnl"/>
        </w:rPr>
        <w:t>(…)”, indicó que la Embajada de la República de Ecuador en Venezuela, le adeuda los siguientes conceptos: </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w:t>
      </w:r>
    </w:p>
    <w:tbl>
      <w:tblPr>
        <w:tblpPr w:leftFromText="141" w:rightFromText="141" w:vertAnchor="text"/>
        <w:tblW w:w="8292" w:type="dxa"/>
        <w:tblCellMar>
          <w:left w:w="0" w:type="dxa"/>
          <w:right w:w="0" w:type="dxa"/>
        </w:tblCellMar>
        <w:tblLook w:val="04A0" w:firstRow="1" w:lastRow="0" w:firstColumn="1" w:lastColumn="0" w:noHBand="0" w:noVBand="1"/>
      </w:tblPr>
      <w:tblGrid>
        <w:gridCol w:w="2340"/>
        <w:gridCol w:w="1500"/>
        <w:gridCol w:w="2579"/>
        <w:gridCol w:w="1873"/>
      </w:tblGrid>
      <w:tr w:rsidR="00BD0E25" w:rsidRPr="00BD0E25" w:rsidTr="00BD0E25">
        <w:trPr>
          <w:trHeight w:val="390"/>
        </w:trPr>
        <w:tc>
          <w:tcPr>
            <w:tcW w:w="8292"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Cálculo de Salario Mensual (Tasa DICOM Bs. S. 4,100,00)</w:t>
            </w:r>
          </w:p>
        </w:tc>
      </w:tr>
      <w:tr w:rsidR="00BD0E25" w:rsidRPr="00BD0E25" w:rsidTr="00BD0E25">
        <w:trPr>
          <w:trHeight w:val="390"/>
        </w:trPr>
        <w:tc>
          <w:tcPr>
            <w:tcW w:w="3840" w:type="dxa"/>
            <w:gridSpan w:val="2"/>
            <w:tcBorders>
              <w:top w:val="nil"/>
              <w:left w:val="single" w:sz="8" w:space="0" w:color="000000"/>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Salario en Dólares Soberanos</w:t>
            </w:r>
          </w:p>
        </w:tc>
        <w:tc>
          <w:tcPr>
            <w:tcW w:w="445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ind w:left="962"/>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ind w:left="962"/>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Salario en Bolívares</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 </w:t>
            </w:r>
          </w:p>
        </w:tc>
      </w:tr>
      <w:tr w:rsidR="00BD0E25" w:rsidRPr="00BD0E25" w:rsidTr="00BD0E25">
        <w:trPr>
          <w:trHeight w:val="390"/>
        </w:trPr>
        <w:tc>
          <w:tcPr>
            <w:tcW w:w="2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Concepto</w:t>
            </w:r>
          </w:p>
        </w:tc>
        <w:tc>
          <w:tcPr>
            <w:tcW w:w="15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Monto</w:t>
            </w:r>
          </w:p>
        </w:tc>
        <w:tc>
          <w:tcPr>
            <w:tcW w:w="257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Concepto</w:t>
            </w:r>
          </w:p>
        </w:tc>
        <w:tc>
          <w:tcPr>
            <w:tcW w:w="18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ind w:left="618"/>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Monto</w:t>
            </w:r>
          </w:p>
        </w:tc>
      </w:tr>
      <w:tr w:rsidR="00BD0E25" w:rsidRPr="00BD0E25" w:rsidTr="00BD0E25">
        <w:trPr>
          <w:trHeight w:val="390"/>
        </w:trPr>
        <w:tc>
          <w:tcPr>
            <w:tcW w:w="23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Salario Mensual</w:t>
            </w:r>
          </w:p>
        </w:tc>
        <w:tc>
          <w:tcPr>
            <w:tcW w:w="1500"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$1.500.00</w:t>
            </w:r>
          </w:p>
        </w:tc>
        <w:tc>
          <w:tcPr>
            <w:tcW w:w="2579" w:type="dxa"/>
            <w:tcBorders>
              <w:top w:val="nil"/>
              <w:left w:val="nil"/>
              <w:bottom w:val="single" w:sz="8" w:space="0" w:color="000000"/>
              <w:right w:val="single" w:sz="8" w:space="0" w:color="auto"/>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Salario Mensual</w:t>
            </w:r>
          </w:p>
        </w:tc>
        <w:tc>
          <w:tcPr>
            <w:tcW w:w="1873"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Bs.S 6.150.000,00</w:t>
            </w:r>
          </w:p>
        </w:tc>
      </w:tr>
      <w:tr w:rsidR="00BD0E25" w:rsidRPr="00BD0E25" w:rsidTr="00BD0E25">
        <w:trPr>
          <w:trHeight w:val="390"/>
        </w:trPr>
        <w:tc>
          <w:tcPr>
            <w:tcW w:w="23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Alícuota Utilidades</w:t>
            </w:r>
          </w:p>
        </w:tc>
        <w:tc>
          <w:tcPr>
            <w:tcW w:w="1500"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$125.00</w:t>
            </w:r>
          </w:p>
        </w:tc>
        <w:tc>
          <w:tcPr>
            <w:tcW w:w="2579" w:type="dxa"/>
            <w:tcBorders>
              <w:top w:val="nil"/>
              <w:left w:val="nil"/>
              <w:bottom w:val="single" w:sz="8" w:space="0" w:color="000000"/>
              <w:right w:val="single" w:sz="8" w:space="0" w:color="auto"/>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Alícuota Utilidades</w:t>
            </w:r>
          </w:p>
        </w:tc>
        <w:tc>
          <w:tcPr>
            <w:tcW w:w="1873"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Bs.S 512.500,00</w:t>
            </w:r>
          </w:p>
        </w:tc>
      </w:tr>
      <w:tr w:rsidR="00BD0E25" w:rsidRPr="00BD0E25" w:rsidTr="00BD0E25">
        <w:trPr>
          <w:trHeight w:val="390"/>
        </w:trPr>
        <w:tc>
          <w:tcPr>
            <w:tcW w:w="23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Alícuota Bono Vacacional</w:t>
            </w:r>
          </w:p>
        </w:tc>
        <w:tc>
          <w:tcPr>
            <w:tcW w:w="1500"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$125.00</w:t>
            </w:r>
          </w:p>
        </w:tc>
        <w:tc>
          <w:tcPr>
            <w:tcW w:w="2579" w:type="dxa"/>
            <w:tcBorders>
              <w:top w:val="nil"/>
              <w:left w:val="nil"/>
              <w:bottom w:val="single" w:sz="8" w:space="0" w:color="000000"/>
              <w:right w:val="single" w:sz="8" w:space="0" w:color="auto"/>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Alícuota Bono Vacacional</w:t>
            </w:r>
          </w:p>
        </w:tc>
        <w:tc>
          <w:tcPr>
            <w:tcW w:w="1873"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Bs.S 512.500,00</w:t>
            </w:r>
          </w:p>
        </w:tc>
      </w:tr>
      <w:tr w:rsidR="00BD0E25" w:rsidRPr="00BD0E25" w:rsidTr="00BD0E25">
        <w:trPr>
          <w:trHeight w:val="390"/>
        </w:trPr>
        <w:tc>
          <w:tcPr>
            <w:tcW w:w="23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Salario Integral Mensual</w:t>
            </w:r>
          </w:p>
        </w:tc>
        <w:tc>
          <w:tcPr>
            <w:tcW w:w="1500"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$1,750.00</w:t>
            </w:r>
          </w:p>
        </w:tc>
        <w:tc>
          <w:tcPr>
            <w:tcW w:w="2579" w:type="dxa"/>
            <w:tcBorders>
              <w:top w:val="nil"/>
              <w:left w:val="nil"/>
              <w:bottom w:val="single" w:sz="8" w:space="0" w:color="000000"/>
              <w:right w:val="single" w:sz="8" w:space="0" w:color="auto"/>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Salario Integral Mensual</w:t>
            </w:r>
          </w:p>
        </w:tc>
        <w:tc>
          <w:tcPr>
            <w:tcW w:w="1873"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Bs.S 7.715.000,00</w:t>
            </w:r>
          </w:p>
        </w:tc>
      </w:tr>
      <w:tr w:rsidR="00BD0E25" w:rsidRPr="00BD0E25" w:rsidTr="00BD0E25">
        <w:trPr>
          <w:trHeight w:val="390"/>
        </w:trPr>
        <w:tc>
          <w:tcPr>
            <w:tcW w:w="23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Salario Integral Diario</w:t>
            </w:r>
          </w:p>
        </w:tc>
        <w:tc>
          <w:tcPr>
            <w:tcW w:w="1500"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$58.33</w:t>
            </w:r>
          </w:p>
        </w:tc>
        <w:tc>
          <w:tcPr>
            <w:tcW w:w="2579" w:type="dxa"/>
            <w:tcBorders>
              <w:top w:val="nil"/>
              <w:left w:val="nil"/>
              <w:bottom w:val="single" w:sz="8" w:space="0" w:color="000000"/>
              <w:right w:val="single" w:sz="8" w:space="0" w:color="auto"/>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Salario Integral Diario</w:t>
            </w:r>
          </w:p>
        </w:tc>
        <w:tc>
          <w:tcPr>
            <w:tcW w:w="1873" w:type="dxa"/>
            <w:tcBorders>
              <w:top w:val="nil"/>
              <w:left w:val="nil"/>
              <w:bottom w:val="single" w:sz="8" w:space="0" w:color="000000"/>
              <w:right w:val="single" w:sz="8" w:space="0" w:color="000000"/>
            </w:tcBorders>
            <w:tcMar>
              <w:top w:w="0" w:type="dxa"/>
              <w:left w:w="70" w:type="dxa"/>
              <w:bottom w:w="0" w:type="dxa"/>
              <w:right w:w="70" w:type="dxa"/>
            </w:tcMar>
            <w:hideMark/>
          </w:tcPr>
          <w:p w:rsidR="00BD0E25" w:rsidRPr="00BD0E25" w:rsidRDefault="00BD0E25" w:rsidP="00BD0E25">
            <w:pPr>
              <w:widowControl/>
              <w:autoSpaceDE/>
              <w:autoSpaceDN/>
              <w:jc w:val="both"/>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Bs.S 239.166,67</w:t>
            </w:r>
          </w:p>
        </w:tc>
      </w:tr>
    </w:tbl>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jc w:val="righ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ind w:firstLine="708"/>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En cuanto a las prestaciones sociales, refirió que “(…) </w:t>
      </w:r>
      <w:r w:rsidRPr="00BD0E25">
        <w:rPr>
          <w:rFonts w:ascii="Times New Roman" w:eastAsia="Times New Roman" w:hAnsi="Times New Roman" w:cs="Times New Roman"/>
          <w:i/>
          <w:iCs/>
          <w:color w:val="000000"/>
          <w:sz w:val="24"/>
          <w:szCs w:val="24"/>
          <w:lang w:val="es-ES" w:eastAsia="es-ES_tradnl"/>
        </w:rPr>
        <w:t>de conformidad con lo previsto en literal c) del artículo 142 de la LOTTT </w:t>
      </w:r>
      <w:r w:rsidRPr="00BD0E25">
        <w:rPr>
          <w:rFonts w:ascii="Times New Roman" w:eastAsia="Times New Roman" w:hAnsi="Times New Roman" w:cs="Times New Roman"/>
          <w:color w:val="000000"/>
          <w:sz w:val="24"/>
          <w:szCs w:val="24"/>
          <w:lang w:val="es-ES" w:eastAsia="es-ES_tradnl"/>
        </w:rPr>
        <w:t>(sic) </w:t>
      </w:r>
      <w:r w:rsidRPr="00BD0E25">
        <w:rPr>
          <w:rFonts w:ascii="Times New Roman" w:eastAsia="Times New Roman" w:hAnsi="Times New Roman" w:cs="Times New Roman"/>
          <w:i/>
          <w:iCs/>
          <w:color w:val="000000"/>
          <w:sz w:val="24"/>
          <w:szCs w:val="24"/>
          <w:lang w:val="es-ES" w:eastAsia="es-ES_tradnl"/>
        </w:rPr>
        <w:t>le corresponden a </w:t>
      </w:r>
      <w:r w:rsidRPr="00BD0E25">
        <w:rPr>
          <w:rFonts w:ascii="Times New Roman" w:eastAsia="Times New Roman" w:hAnsi="Times New Roman" w:cs="Times New Roman"/>
          <w:color w:val="000000"/>
          <w:sz w:val="24"/>
          <w:szCs w:val="24"/>
          <w:lang w:val="es-ES" w:eastAsia="es-ES_tradnl"/>
        </w:rPr>
        <w:t>[su] </w:t>
      </w:r>
      <w:r w:rsidRPr="00BD0E25">
        <w:rPr>
          <w:rFonts w:ascii="Times New Roman" w:eastAsia="Times New Roman" w:hAnsi="Times New Roman" w:cs="Times New Roman"/>
          <w:i/>
          <w:iCs/>
          <w:color w:val="000000"/>
          <w:sz w:val="24"/>
          <w:szCs w:val="24"/>
          <w:lang w:val="es-ES" w:eastAsia="es-ES_tradnl"/>
        </w:rPr>
        <w:t>poderdante la cantidad de seiscientos días de prestaciones sociales calculados con el último salario integral devengado por la trabajadores, es decir, la cantidad de UN MIL SETECIENTOS CINCUENTA DÓLARES DE LOS ESTADOS UNIDOS DE NORTEAMÉRICA ($1.750,00), que a solo a los efectos de cumplir con lo establecido en el artículo 128 de la Ley del Banco Central de Venezuela representan la suma de SIETE MILLONES CIENTO SETENTA Y CINCO MIL BOLÍVARES SOBERANOS CON 00/100 (Bs. S 7.175.000,00), a la tasa DICOM de CUATRO MIL CIEN BOLÍVARES SOBERANOS CON 00/100 (Bs. 4.100,00), por dólar, según reporte de la Tasa del Sistema del Mercado Cambiario publicado por el Banco Central de Venezuela en fecha quince (15) de abril de 2019 </w:t>
      </w:r>
      <w:r w:rsidRPr="00BD0E25">
        <w:rPr>
          <w:rFonts w:ascii="Times New Roman" w:eastAsia="Times New Roman" w:hAnsi="Times New Roman" w:cs="Times New Roman"/>
          <w:color w:val="000000"/>
          <w:sz w:val="24"/>
          <w:szCs w:val="24"/>
          <w:lang w:val="es-ES" w:eastAsia="es-ES_tradnl"/>
        </w:rPr>
        <w:t>(…)”. (Agregado de la Sala).</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lastRenderedPageBreak/>
        <w:t>            Afirmó que “(…) </w:t>
      </w:r>
      <w:r w:rsidRPr="00BD0E25">
        <w:rPr>
          <w:rFonts w:ascii="Times New Roman" w:eastAsia="Times New Roman" w:hAnsi="Times New Roman" w:cs="Times New Roman"/>
          <w:i/>
          <w:iCs/>
          <w:color w:val="000000"/>
          <w:sz w:val="24"/>
          <w:szCs w:val="24"/>
          <w:lang w:val="es-ES" w:eastAsia="es-ES_tradnl"/>
        </w:rPr>
        <w:t>aplicando el método de estimación del concepto previsto en el literal c) del artículo 142 de la LOTTT, le corresponde a </w:t>
      </w:r>
      <w:r w:rsidRPr="00BD0E25">
        <w:rPr>
          <w:rFonts w:ascii="Times New Roman" w:eastAsia="Times New Roman" w:hAnsi="Times New Roman" w:cs="Times New Roman"/>
          <w:color w:val="000000"/>
          <w:sz w:val="24"/>
          <w:szCs w:val="24"/>
          <w:lang w:val="es-ES" w:eastAsia="es-ES_tradnl"/>
        </w:rPr>
        <w:t>[su] </w:t>
      </w:r>
      <w:r w:rsidRPr="00BD0E25">
        <w:rPr>
          <w:rFonts w:ascii="Times New Roman" w:eastAsia="Times New Roman" w:hAnsi="Times New Roman" w:cs="Times New Roman"/>
          <w:i/>
          <w:iCs/>
          <w:color w:val="000000"/>
          <w:sz w:val="24"/>
          <w:szCs w:val="24"/>
          <w:lang w:val="es-ES" w:eastAsia="es-ES_tradnl"/>
        </w:rPr>
        <w:t>poderdante:</w:t>
      </w:r>
    </w:p>
    <w:tbl>
      <w:tblPr>
        <w:tblpPr w:leftFromText="141" w:rightFromText="141" w:vertAnchor="text"/>
        <w:tblW w:w="8292" w:type="dxa"/>
        <w:tblCellMar>
          <w:left w:w="0" w:type="dxa"/>
          <w:right w:w="0" w:type="dxa"/>
        </w:tblCellMar>
        <w:tblLook w:val="04A0" w:firstRow="1" w:lastRow="0" w:firstColumn="1" w:lastColumn="0" w:noHBand="0" w:noVBand="1"/>
      </w:tblPr>
      <w:tblGrid>
        <w:gridCol w:w="1895"/>
        <w:gridCol w:w="886"/>
        <w:gridCol w:w="1100"/>
        <w:gridCol w:w="1954"/>
        <w:gridCol w:w="817"/>
        <w:gridCol w:w="1640"/>
      </w:tblGrid>
      <w:tr w:rsidR="00BD0E25" w:rsidRPr="00BD0E25" w:rsidTr="00BD0E25">
        <w:trPr>
          <w:trHeight w:val="390"/>
        </w:trPr>
        <w:tc>
          <w:tcPr>
            <w:tcW w:w="8292" w:type="dxa"/>
            <w:gridSpan w:val="6"/>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Cálculo Prestaciones Sociales (Tasa DICOM Bs. S. 3.300,41) </w:t>
            </w:r>
            <w:r w:rsidRPr="00BD0E25">
              <w:rPr>
                <w:rFonts w:ascii="Times New Roman" w:eastAsia="Times New Roman" w:hAnsi="Times New Roman" w:cs="Times New Roman"/>
                <w:color w:val="000000"/>
                <w:sz w:val="24"/>
                <w:szCs w:val="24"/>
                <w:lang w:val="es-VE" w:eastAsia="es-ES_tradnl"/>
              </w:rPr>
              <w:t>(sic)</w:t>
            </w:r>
          </w:p>
        </w:tc>
      </w:tr>
      <w:tr w:rsidR="00BD0E25" w:rsidRPr="00BD0E25" w:rsidTr="00BD0E25">
        <w:trPr>
          <w:trHeight w:val="390"/>
        </w:trPr>
        <w:tc>
          <w:tcPr>
            <w:tcW w:w="4155" w:type="dxa"/>
            <w:gridSpan w:val="3"/>
            <w:tcBorders>
              <w:top w:val="nil"/>
              <w:left w:val="single" w:sz="8" w:space="0" w:color="000000"/>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Cálculo en Dólares </w:t>
            </w:r>
          </w:p>
        </w:tc>
        <w:tc>
          <w:tcPr>
            <w:tcW w:w="4137" w:type="dxa"/>
            <w:gridSpan w:val="3"/>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ind w:left="962"/>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ind w:left="962"/>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Cálculo en Bolívares Soberanos</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 </w:t>
            </w:r>
          </w:p>
        </w:tc>
      </w:tr>
      <w:tr w:rsidR="00BD0E25" w:rsidRPr="00BD0E25" w:rsidTr="00BD0E25">
        <w:trPr>
          <w:trHeight w:val="390"/>
        </w:trPr>
        <w:tc>
          <w:tcPr>
            <w:tcW w:w="228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Salario Integral Diario</w:t>
            </w:r>
          </w:p>
        </w:tc>
        <w:tc>
          <w:tcPr>
            <w:tcW w:w="1000"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Días</w:t>
            </w:r>
          </w:p>
        </w:tc>
        <w:tc>
          <w:tcPr>
            <w:tcW w:w="87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Total</w:t>
            </w:r>
          </w:p>
        </w:tc>
        <w:tc>
          <w:tcPr>
            <w:tcW w:w="2241"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Salario Integral Diario</w:t>
            </w:r>
          </w:p>
        </w:tc>
        <w:tc>
          <w:tcPr>
            <w:tcW w:w="9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Días</w:t>
            </w:r>
          </w:p>
        </w:tc>
        <w:tc>
          <w:tcPr>
            <w:tcW w:w="99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Total</w:t>
            </w:r>
          </w:p>
        </w:tc>
      </w:tr>
      <w:tr w:rsidR="00BD0E25" w:rsidRPr="00BD0E25" w:rsidTr="00BD0E25">
        <w:trPr>
          <w:trHeight w:val="390"/>
        </w:trPr>
        <w:tc>
          <w:tcPr>
            <w:tcW w:w="228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58.33</w:t>
            </w:r>
          </w:p>
        </w:tc>
        <w:tc>
          <w:tcPr>
            <w:tcW w:w="1000"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630</w:t>
            </w:r>
          </w:p>
        </w:tc>
        <w:tc>
          <w:tcPr>
            <w:tcW w:w="87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36.750,00</w:t>
            </w:r>
          </w:p>
        </w:tc>
        <w:tc>
          <w:tcPr>
            <w:tcW w:w="2241"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239.166,67</w:t>
            </w:r>
          </w:p>
        </w:tc>
        <w:tc>
          <w:tcPr>
            <w:tcW w:w="9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630</w:t>
            </w:r>
          </w:p>
        </w:tc>
        <w:tc>
          <w:tcPr>
            <w:tcW w:w="99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150.675.000,00</w:t>
            </w:r>
          </w:p>
        </w:tc>
      </w:tr>
    </w:tbl>
    <w:p w:rsidR="00BD0E25" w:rsidRPr="00BD0E25" w:rsidRDefault="00BD0E25" w:rsidP="00BD0E25">
      <w:pPr>
        <w:widowControl/>
        <w:autoSpaceDE/>
        <w:autoSpaceDN/>
        <w:spacing w:after="120" w:line="330" w:lineRule="atLeast"/>
        <w:jc w:val="center"/>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 </w:t>
      </w: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jc w:val="center"/>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jc w:val="center"/>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jc w:val="center"/>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spacing w:after="120" w:line="330" w:lineRule="atLeast"/>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ES" w:eastAsia="es-ES_tradnl"/>
        </w:rPr>
        <w:t>                                                                                        </w:t>
      </w:r>
      <w:r w:rsidRPr="00BD0E25">
        <w:rPr>
          <w:rFonts w:ascii="Times New Roman" w:eastAsia="Times New Roman" w:hAnsi="Times New Roman" w:cs="Times New Roman"/>
          <w:color w:val="000000"/>
          <w:sz w:val="24"/>
          <w:szCs w:val="24"/>
          <w:lang w:val="es-ES" w:eastAsia="es-ES_tradnl"/>
        </w:rPr>
        <w:t>(…)”. (Agregado de la Sala). </w:t>
      </w:r>
    </w:p>
    <w:p w:rsidR="00BD0E25" w:rsidRPr="00BD0E25" w:rsidRDefault="00BD0E25" w:rsidP="00BD0E25">
      <w:pPr>
        <w:widowControl/>
        <w:autoSpaceDE/>
        <w:autoSpaceDN/>
        <w:spacing w:after="120" w:line="330" w:lineRule="atLeast"/>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Asimismo, pidió que le sean cancelados los “</w:t>
      </w:r>
      <w:r w:rsidRPr="00BD0E25">
        <w:rPr>
          <w:rFonts w:ascii="Times New Roman" w:eastAsia="Times New Roman" w:hAnsi="Times New Roman" w:cs="Times New Roman"/>
          <w:i/>
          <w:iCs/>
          <w:color w:val="000000"/>
          <w:sz w:val="24"/>
          <w:szCs w:val="24"/>
          <w:lang w:val="es-ES" w:eastAsia="es-ES_tradnl"/>
        </w:rPr>
        <w:t>intereses sobre prestaciones sociales</w:t>
      </w:r>
      <w:r w:rsidRPr="00BD0E25">
        <w:rPr>
          <w:rFonts w:ascii="Times New Roman" w:eastAsia="Times New Roman" w:hAnsi="Times New Roman" w:cs="Times New Roman"/>
          <w:color w:val="000000"/>
          <w:sz w:val="24"/>
          <w:szCs w:val="24"/>
          <w:lang w:val="es-ES" w:eastAsia="es-ES_tradnl"/>
        </w:rPr>
        <w:t>” de la siguiente forma: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tbl>
      <w:tblPr>
        <w:tblpPr w:leftFromText="141" w:rightFromText="141" w:vertAnchor="text"/>
        <w:tblW w:w="8292" w:type="dxa"/>
        <w:tblCellMar>
          <w:left w:w="0" w:type="dxa"/>
          <w:right w:w="0" w:type="dxa"/>
        </w:tblCellMar>
        <w:tblLook w:val="04A0" w:firstRow="1" w:lastRow="0" w:firstColumn="1" w:lastColumn="0" w:noHBand="0" w:noVBand="1"/>
      </w:tblPr>
      <w:tblGrid>
        <w:gridCol w:w="1474"/>
        <w:gridCol w:w="1100"/>
        <w:gridCol w:w="1100"/>
        <w:gridCol w:w="1458"/>
        <w:gridCol w:w="1640"/>
        <w:gridCol w:w="1520"/>
      </w:tblGrid>
      <w:tr w:rsidR="00BD0E25" w:rsidRPr="00BD0E25" w:rsidTr="00BD0E25">
        <w:trPr>
          <w:trHeight w:val="390"/>
        </w:trPr>
        <w:tc>
          <w:tcPr>
            <w:tcW w:w="8292" w:type="dxa"/>
            <w:gridSpan w:val="6"/>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Cálculo de Intereses sobre Prestaciones Sociales (Tasa DICOM Bs. S. 4.100,00) </w:t>
            </w:r>
          </w:p>
        </w:tc>
      </w:tr>
      <w:tr w:rsidR="00BD0E25" w:rsidRPr="00BD0E25" w:rsidTr="00BD0E25">
        <w:trPr>
          <w:trHeight w:val="390"/>
        </w:trPr>
        <w:tc>
          <w:tcPr>
            <w:tcW w:w="4155" w:type="dxa"/>
            <w:gridSpan w:val="3"/>
            <w:tcBorders>
              <w:top w:val="nil"/>
              <w:left w:val="single" w:sz="8" w:space="0" w:color="000000"/>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Cálculo en Dólares </w:t>
            </w:r>
          </w:p>
        </w:tc>
        <w:tc>
          <w:tcPr>
            <w:tcW w:w="4137" w:type="dxa"/>
            <w:gridSpan w:val="3"/>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ind w:left="962"/>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 </w:t>
            </w:r>
          </w:p>
          <w:p w:rsidR="00BD0E25" w:rsidRPr="00BD0E25" w:rsidRDefault="00BD0E25" w:rsidP="00BD0E25">
            <w:pPr>
              <w:widowControl/>
              <w:autoSpaceDE/>
              <w:autoSpaceDN/>
              <w:ind w:left="962"/>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Cálculo en Bolívares Soberanos</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 </w:t>
            </w:r>
          </w:p>
        </w:tc>
      </w:tr>
      <w:tr w:rsidR="00BD0E25" w:rsidRPr="00BD0E25" w:rsidTr="00BD0E25">
        <w:trPr>
          <w:trHeight w:val="390"/>
        </w:trPr>
        <w:tc>
          <w:tcPr>
            <w:tcW w:w="228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Tiempo de Servicio</w:t>
            </w:r>
          </w:p>
        </w:tc>
        <w:tc>
          <w:tcPr>
            <w:tcW w:w="1000"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Capital </w:t>
            </w:r>
          </w:p>
        </w:tc>
        <w:tc>
          <w:tcPr>
            <w:tcW w:w="87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Intereses</w:t>
            </w:r>
          </w:p>
        </w:tc>
        <w:tc>
          <w:tcPr>
            <w:tcW w:w="2241"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Tiempo de Servicio</w:t>
            </w:r>
          </w:p>
        </w:tc>
        <w:tc>
          <w:tcPr>
            <w:tcW w:w="9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Capital</w:t>
            </w:r>
          </w:p>
        </w:tc>
        <w:tc>
          <w:tcPr>
            <w:tcW w:w="99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Intereses</w:t>
            </w:r>
          </w:p>
        </w:tc>
      </w:tr>
      <w:tr w:rsidR="00BD0E25" w:rsidRPr="00BD0E25" w:rsidTr="00BD0E25">
        <w:trPr>
          <w:trHeight w:val="390"/>
        </w:trPr>
        <w:tc>
          <w:tcPr>
            <w:tcW w:w="228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21 años, 05 meses y 11 días</w:t>
            </w:r>
          </w:p>
        </w:tc>
        <w:tc>
          <w:tcPr>
            <w:tcW w:w="1000"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36,750.00</w:t>
            </w:r>
          </w:p>
        </w:tc>
        <w:tc>
          <w:tcPr>
            <w:tcW w:w="87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14.972,12</w:t>
            </w:r>
          </w:p>
        </w:tc>
        <w:tc>
          <w:tcPr>
            <w:tcW w:w="2241"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21 años, 05 meses y 11 días</w:t>
            </w:r>
          </w:p>
        </w:tc>
        <w:tc>
          <w:tcPr>
            <w:tcW w:w="9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ES" w:eastAsia="es-ES_tradnl"/>
              </w:rPr>
              <w:t>150.675.000,00</w:t>
            </w:r>
          </w:p>
        </w:tc>
        <w:tc>
          <w:tcPr>
            <w:tcW w:w="99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i/>
                <w:iCs/>
                <w:color w:val="000000"/>
                <w:sz w:val="24"/>
                <w:szCs w:val="24"/>
                <w:lang w:val="es-VE" w:eastAsia="es-ES_tradnl"/>
              </w:rPr>
              <w:t>49.414.134.57</w:t>
            </w:r>
          </w:p>
        </w:tc>
      </w:tr>
    </w:tbl>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De igual, solicitó que se le cancelen lo siguientes conceptos: </w:t>
      </w:r>
      <w:r w:rsidRPr="00BD0E25">
        <w:rPr>
          <w:rFonts w:ascii="Times New Roman" w:eastAsia="Times New Roman" w:hAnsi="Times New Roman" w:cs="Times New Roman"/>
          <w:i/>
          <w:iCs/>
          <w:color w:val="000000"/>
          <w:sz w:val="24"/>
          <w:szCs w:val="24"/>
          <w:lang w:val="es-VE" w:eastAsia="es-ES_tradnl"/>
        </w:rPr>
        <w:t>i) </w:t>
      </w:r>
      <w:r w:rsidRPr="00BD0E25">
        <w:rPr>
          <w:rFonts w:ascii="Times New Roman" w:eastAsia="Times New Roman" w:hAnsi="Times New Roman" w:cs="Times New Roman"/>
          <w:color w:val="000000"/>
          <w:sz w:val="24"/>
          <w:szCs w:val="24"/>
          <w:lang w:val="es-VE" w:eastAsia="es-ES_tradnl"/>
        </w:rPr>
        <w:t>indemnización por despido injustificado; </w:t>
      </w:r>
      <w:r w:rsidRPr="00BD0E25">
        <w:rPr>
          <w:rFonts w:ascii="Times New Roman" w:eastAsia="Times New Roman" w:hAnsi="Times New Roman" w:cs="Times New Roman"/>
          <w:i/>
          <w:iCs/>
          <w:color w:val="000000"/>
          <w:sz w:val="24"/>
          <w:szCs w:val="24"/>
          <w:lang w:val="es-VE" w:eastAsia="es-ES_tradnl"/>
        </w:rPr>
        <w:t>ii) </w:t>
      </w:r>
      <w:r w:rsidRPr="00BD0E25">
        <w:rPr>
          <w:rFonts w:ascii="Times New Roman" w:eastAsia="Times New Roman" w:hAnsi="Times New Roman" w:cs="Times New Roman"/>
          <w:color w:val="000000"/>
          <w:sz w:val="24"/>
          <w:szCs w:val="24"/>
          <w:lang w:val="es-VE" w:eastAsia="es-ES_tradnl"/>
        </w:rPr>
        <w:t>vacaciones; </w:t>
      </w:r>
      <w:r w:rsidRPr="00BD0E25">
        <w:rPr>
          <w:rFonts w:ascii="Times New Roman" w:eastAsia="Times New Roman" w:hAnsi="Times New Roman" w:cs="Times New Roman"/>
          <w:i/>
          <w:iCs/>
          <w:color w:val="000000"/>
          <w:sz w:val="24"/>
          <w:szCs w:val="24"/>
          <w:lang w:val="es-VE" w:eastAsia="es-ES_tradnl"/>
        </w:rPr>
        <w:t>iii) </w:t>
      </w:r>
      <w:r w:rsidRPr="00BD0E25">
        <w:rPr>
          <w:rFonts w:ascii="Times New Roman" w:eastAsia="Times New Roman" w:hAnsi="Times New Roman" w:cs="Times New Roman"/>
          <w:color w:val="000000"/>
          <w:sz w:val="24"/>
          <w:szCs w:val="24"/>
          <w:lang w:val="es-VE" w:eastAsia="es-ES_tradnl"/>
        </w:rPr>
        <w:t>bono vacacional; </w:t>
      </w:r>
      <w:r w:rsidRPr="00BD0E25">
        <w:rPr>
          <w:rFonts w:ascii="Times New Roman" w:eastAsia="Times New Roman" w:hAnsi="Times New Roman" w:cs="Times New Roman"/>
          <w:i/>
          <w:iCs/>
          <w:color w:val="000000"/>
          <w:sz w:val="24"/>
          <w:szCs w:val="24"/>
          <w:lang w:val="es-VE" w:eastAsia="es-ES_tradnl"/>
        </w:rPr>
        <w:t>iv) </w:t>
      </w:r>
      <w:r w:rsidRPr="00BD0E25">
        <w:rPr>
          <w:rFonts w:ascii="Times New Roman" w:eastAsia="Times New Roman" w:hAnsi="Times New Roman" w:cs="Times New Roman"/>
          <w:color w:val="000000"/>
          <w:sz w:val="24"/>
          <w:szCs w:val="24"/>
          <w:lang w:val="es-VE" w:eastAsia="es-ES_tradnl"/>
        </w:rPr>
        <w:t>bonificación de fin de año; </w:t>
      </w:r>
      <w:r w:rsidRPr="00BD0E25">
        <w:rPr>
          <w:rFonts w:ascii="Times New Roman" w:eastAsia="Times New Roman" w:hAnsi="Times New Roman" w:cs="Times New Roman"/>
          <w:i/>
          <w:iCs/>
          <w:color w:val="000000"/>
          <w:sz w:val="24"/>
          <w:szCs w:val="24"/>
          <w:lang w:val="es-VE" w:eastAsia="es-ES_tradnl"/>
        </w:rPr>
        <w:t>v) </w:t>
      </w:r>
      <w:r w:rsidRPr="00BD0E25">
        <w:rPr>
          <w:rFonts w:ascii="Times New Roman" w:eastAsia="Times New Roman" w:hAnsi="Times New Roman" w:cs="Times New Roman"/>
          <w:color w:val="000000"/>
          <w:sz w:val="24"/>
          <w:szCs w:val="24"/>
          <w:lang w:val="es-VE" w:eastAsia="es-ES_tradnl"/>
        </w:rPr>
        <w:t>cesta ticket; </w:t>
      </w:r>
      <w:r w:rsidRPr="00BD0E25">
        <w:rPr>
          <w:rFonts w:ascii="Times New Roman" w:eastAsia="Times New Roman" w:hAnsi="Times New Roman" w:cs="Times New Roman"/>
          <w:i/>
          <w:iCs/>
          <w:color w:val="000000"/>
          <w:sz w:val="24"/>
          <w:szCs w:val="24"/>
          <w:lang w:val="es-VE" w:eastAsia="es-ES_tradnl"/>
        </w:rPr>
        <w:t>vi) </w:t>
      </w:r>
      <w:r w:rsidRPr="00BD0E25">
        <w:rPr>
          <w:rFonts w:ascii="Times New Roman" w:eastAsia="Times New Roman" w:hAnsi="Times New Roman" w:cs="Times New Roman"/>
          <w:color w:val="000000"/>
          <w:sz w:val="24"/>
          <w:szCs w:val="24"/>
          <w:lang w:val="es-VE" w:eastAsia="es-ES_tradnl"/>
        </w:rPr>
        <w:t>horas extras; y </w:t>
      </w:r>
      <w:r w:rsidRPr="00BD0E25">
        <w:rPr>
          <w:rFonts w:ascii="Times New Roman" w:eastAsia="Times New Roman" w:hAnsi="Times New Roman" w:cs="Times New Roman"/>
          <w:i/>
          <w:iCs/>
          <w:color w:val="000000"/>
          <w:sz w:val="24"/>
          <w:szCs w:val="24"/>
          <w:lang w:val="es-VE" w:eastAsia="es-ES_tradnl"/>
        </w:rPr>
        <w:t>vii) </w:t>
      </w:r>
      <w:r w:rsidRPr="00BD0E25">
        <w:rPr>
          <w:rFonts w:ascii="Times New Roman" w:eastAsia="Times New Roman" w:hAnsi="Times New Roman" w:cs="Times New Roman"/>
          <w:color w:val="000000"/>
          <w:sz w:val="24"/>
          <w:szCs w:val="24"/>
          <w:lang w:val="es-VE" w:eastAsia="es-ES_tradnl"/>
        </w:rPr>
        <w:t>indemnización por antigüedad y bonificación “</w:t>
      </w:r>
      <w:r w:rsidRPr="00BD0E25">
        <w:rPr>
          <w:rFonts w:ascii="Times New Roman" w:eastAsia="Times New Roman" w:hAnsi="Times New Roman" w:cs="Times New Roman"/>
          <w:i/>
          <w:iCs/>
          <w:color w:val="000000"/>
          <w:sz w:val="24"/>
          <w:szCs w:val="24"/>
          <w:lang w:val="es-VE" w:eastAsia="es-ES_tradnl"/>
        </w:rPr>
        <w:t>de compensación por transferencia</w:t>
      </w:r>
      <w:r w:rsidRPr="00BD0E25">
        <w:rPr>
          <w:rFonts w:ascii="Times New Roman" w:eastAsia="Times New Roman" w:hAnsi="Times New Roman" w:cs="Times New Roman"/>
          <w:color w:val="000000"/>
          <w:sz w:val="24"/>
          <w:szCs w:val="24"/>
          <w:lang w:val="es-VE" w:eastAsia="es-ES_tradnl"/>
        </w:rPr>
        <w:t>”, en los términos indicados en su escrito libelar.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Estimó el monto de su pretensión en la cantidad de trescientos sesenta y ocho millones seiscientos seis mil ciento noventa y cinco bolívares con noventa y cinco céntimos (Bs. 368.606.195,95).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lastRenderedPageBreak/>
        <w:t>            Finalmente, fundamentó la demanda en los artículos 85, 86, 87, 89, 91, 92, 93 y 94 de la Constitución de la República Bolivariana de Venezuela; 19, 53, 56, 120, 122, 128, 132, 140, 141, 142, 143, 178, 182, 190, 192, 195, 196 y 197 de la Ley Orgánica del Trabajo, los Trabajadores y las Trabajadoras; 123 y 126 de la Ley Orgánica Procesal del Trabajo, 31, 38, 39, 174, 274 y 506 del Código de Procedimiento Civil; 1.269, 1.271, 1.397 del Código Civil y 128 de la Ley del Banco Central de Venezuela.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Posteriormente, en fecha 2 de mayo de 2019, el Tribunal Trigésimo Segundo (32°) de Primera Instancia de Sustanciación, Mediación y Ejecución del Circuito Judicial del Trabajo del Área Metropolitana de Caracas, admitió la demanda y ordenó la notificación de la demandada, a fin de que compareciera al décimo (10°) día hábil siguiente a que conste en autos su notificación, a fin de celebrarse la Audiencia Preliminar.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En esa misma oportunidad, acordó oficiar a “(…) </w:t>
      </w:r>
      <w:r w:rsidRPr="00BD0E25">
        <w:rPr>
          <w:rFonts w:ascii="Times New Roman" w:eastAsia="Times New Roman" w:hAnsi="Times New Roman" w:cs="Times New Roman"/>
          <w:i/>
          <w:iCs/>
          <w:color w:val="000000"/>
          <w:sz w:val="24"/>
          <w:szCs w:val="24"/>
          <w:lang w:val="es-VE" w:eastAsia="es-ES_tradnl"/>
        </w:rPr>
        <w:t>la Dirección de Inmunidades y Privilegios de la Dirección General Sectorial de Protocolo del Ministerio de Relaciones Exteriores</w:t>
      </w:r>
      <w:r w:rsidRPr="00BD0E25">
        <w:rPr>
          <w:rFonts w:ascii="Times New Roman" w:eastAsia="Times New Roman" w:hAnsi="Times New Roman" w:cs="Times New Roman"/>
          <w:color w:val="000000"/>
          <w:sz w:val="24"/>
          <w:szCs w:val="24"/>
          <w:lang w:val="es-VE" w:eastAsia="es-ES_tradnl"/>
        </w:rPr>
        <w:t>, </w:t>
      </w:r>
      <w:r w:rsidRPr="00BD0E25">
        <w:rPr>
          <w:rFonts w:ascii="Times New Roman" w:eastAsia="Times New Roman" w:hAnsi="Times New Roman" w:cs="Times New Roman"/>
          <w:i/>
          <w:iCs/>
          <w:color w:val="000000"/>
          <w:sz w:val="24"/>
          <w:szCs w:val="24"/>
          <w:lang w:val="es-VE" w:eastAsia="es-ES_tradnl"/>
        </w:rPr>
        <w:t>a los fines de tramitar lo conducente por ante la</w:t>
      </w:r>
      <w:r w:rsidRPr="00BD0E25">
        <w:rPr>
          <w:rFonts w:ascii="Times New Roman" w:eastAsia="Times New Roman" w:hAnsi="Times New Roman" w:cs="Times New Roman"/>
          <w:color w:val="000000"/>
          <w:sz w:val="24"/>
          <w:szCs w:val="24"/>
          <w:lang w:val="es-VE" w:eastAsia="es-ES_tradnl"/>
        </w:rPr>
        <w:t> </w:t>
      </w:r>
      <w:r w:rsidRPr="00BD0E25">
        <w:rPr>
          <w:rFonts w:ascii="Times New Roman" w:eastAsia="Times New Roman" w:hAnsi="Times New Roman" w:cs="Times New Roman"/>
          <w:b/>
          <w:bCs/>
          <w:i/>
          <w:iCs/>
          <w:color w:val="000000"/>
          <w:sz w:val="24"/>
          <w:szCs w:val="24"/>
          <w:lang w:val="es-VE" w:eastAsia="es-ES_tradnl"/>
        </w:rPr>
        <w:t>EMBAJADA DE LA REPÚBLICA DE ECUADOR</w:t>
      </w:r>
      <w:r w:rsidRPr="00BD0E25">
        <w:rPr>
          <w:rFonts w:ascii="Times New Roman" w:eastAsia="Times New Roman" w:hAnsi="Times New Roman" w:cs="Times New Roman"/>
          <w:i/>
          <w:iCs/>
          <w:color w:val="000000"/>
          <w:sz w:val="24"/>
          <w:szCs w:val="24"/>
          <w:lang w:val="es-VE" w:eastAsia="es-ES_tradnl"/>
        </w:rPr>
        <w:t>, todo a los fines de practicar la notificación de la demandada con estricta sujeción y cumplimiento de sus privilegios </w:t>
      </w: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Libradas las notificaciones correspondientes, por diligencia del 30 de julio de 2019, la abogada Aileen Perdomo de Moya, en su carácter de apoderada judicial de la demandante, presentó escrito mediante el cual “(…) </w:t>
      </w:r>
      <w:r w:rsidRPr="00BD0E25">
        <w:rPr>
          <w:rFonts w:ascii="Times New Roman" w:eastAsia="Times New Roman" w:hAnsi="Times New Roman" w:cs="Times New Roman"/>
          <w:i/>
          <w:iCs/>
          <w:color w:val="000000"/>
          <w:sz w:val="24"/>
          <w:szCs w:val="24"/>
          <w:lang w:val="es-VE" w:eastAsia="es-ES_tradnl"/>
        </w:rPr>
        <w:t>renunci</w:t>
      </w:r>
      <w:r w:rsidRPr="00BD0E25">
        <w:rPr>
          <w:rFonts w:ascii="Times New Roman" w:eastAsia="Times New Roman" w:hAnsi="Times New Roman" w:cs="Times New Roman"/>
          <w:color w:val="000000"/>
          <w:sz w:val="24"/>
          <w:szCs w:val="24"/>
          <w:lang w:val="es-VE" w:eastAsia="es-ES_tradnl"/>
        </w:rPr>
        <w:t>[ó] </w:t>
      </w:r>
      <w:r w:rsidRPr="00BD0E25">
        <w:rPr>
          <w:rFonts w:ascii="Times New Roman" w:eastAsia="Times New Roman" w:hAnsi="Times New Roman" w:cs="Times New Roman"/>
          <w:i/>
          <w:iCs/>
          <w:color w:val="000000"/>
          <w:sz w:val="24"/>
          <w:szCs w:val="24"/>
          <w:lang w:val="es-VE" w:eastAsia="es-ES_tradnl"/>
        </w:rPr>
        <w:t>al poder que </w:t>
      </w:r>
      <w:r w:rsidRPr="00BD0E25">
        <w:rPr>
          <w:rFonts w:ascii="Times New Roman" w:eastAsia="Times New Roman" w:hAnsi="Times New Roman" w:cs="Times New Roman"/>
          <w:color w:val="000000"/>
          <w:sz w:val="24"/>
          <w:szCs w:val="24"/>
          <w:lang w:val="es-VE" w:eastAsia="es-ES_tradnl"/>
        </w:rPr>
        <w:t>[le] </w:t>
      </w:r>
      <w:r w:rsidRPr="00BD0E25">
        <w:rPr>
          <w:rFonts w:ascii="Times New Roman" w:eastAsia="Times New Roman" w:hAnsi="Times New Roman" w:cs="Times New Roman"/>
          <w:i/>
          <w:iCs/>
          <w:color w:val="000000"/>
          <w:sz w:val="24"/>
          <w:szCs w:val="24"/>
          <w:lang w:val="es-VE" w:eastAsia="es-ES_tradnl"/>
        </w:rPr>
        <w:t>fuese conferido por la ciudadana María Augusta Torres Villavicencio </w:t>
      </w:r>
      <w:r w:rsidRPr="00BD0E25">
        <w:rPr>
          <w:rFonts w:ascii="Times New Roman" w:eastAsia="Times New Roman" w:hAnsi="Times New Roman" w:cs="Times New Roman"/>
          <w:color w:val="000000"/>
          <w:sz w:val="24"/>
          <w:szCs w:val="24"/>
          <w:lang w:val="es-VE" w:eastAsia="es-ES_tradnl"/>
        </w:rPr>
        <w:t>(…)”. (Agregados de la Sala).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En fecha 5 de agosto de 2019, el abogado Rodolfo Ruiz, inscrito en el INPREABOGADO bajo el Nro. 97.935,  consignó poder que lo acredita para actuar en la presente causa en representación de la demandada.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El 12 de agosto de 2019, se dejó constancia de la celebración de la Audiencia Preliminar. En esa oportunidad, la representación judicial de la parte demandada “(…) </w:t>
      </w:r>
      <w:r w:rsidRPr="00BD0E25">
        <w:rPr>
          <w:rFonts w:ascii="Times New Roman" w:eastAsia="Times New Roman" w:hAnsi="Times New Roman" w:cs="Times New Roman"/>
          <w:i/>
          <w:iCs/>
          <w:color w:val="000000"/>
          <w:sz w:val="24"/>
          <w:szCs w:val="24"/>
          <w:lang w:val="es-VE" w:eastAsia="es-ES_tradnl"/>
        </w:rPr>
        <w:t>aleg</w:t>
      </w:r>
      <w:r w:rsidRPr="00BD0E25">
        <w:rPr>
          <w:rFonts w:ascii="Times New Roman" w:eastAsia="Times New Roman" w:hAnsi="Times New Roman" w:cs="Times New Roman"/>
          <w:color w:val="000000"/>
          <w:sz w:val="24"/>
          <w:szCs w:val="24"/>
          <w:lang w:val="es-VE" w:eastAsia="es-ES_tradnl"/>
        </w:rPr>
        <w:t>[ó] </w:t>
      </w:r>
      <w:r w:rsidRPr="00BD0E25">
        <w:rPr>
          <w:rFonts w:ascii="Times New Roman" w:eastAsia="Times New Roman" w:hAnsi="Times New Roman" w:cs="Times New Roman"/>
          <w:i/>
          <w:iCs/>
          <w:color w:val="000000"/>
          <w:sz w:val="24"/>
          <w:szCs w:val="24"/>
          <w:lang w:val="es-VE" w:eastAsia="es-ES_tradnl"/>
        </w:rPr>
        <w:t>la falta de jurisdicción de los Tribunales Venezolanos frente a los Tribunales de la República del Ecuador </w:t>
      </w:r>
      <w:r w:rsidRPr="00BD0E25">
        <w:rPr>
          <w:rFonts w:ascii="Times New Roman" w:eastAsia="Times New Roman" w:hAnsi="Times New Roman" w:cs="Times New Roman"/>
          <w:color w:val="000000"/>
          <w:sz w:val="24"/>
          <w:szCs w:val="24"/>
          <w:lang w:val="es-VE" w:eastAsia="es-ES_tradnl"/>
        </w:rPr>
        <w:t>(…)”. (Agregado de la Sala).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En fecha del 14 de agosto de 2019, la abogada Mariana Branz Neri, inscrita en el INPREABOGADO bajo el Nro. 117.808, actuando en su carácter de apoderada judicial de la actora, presentó escrito de alegatos relativos a la falta de jurisdicción alegada por la demandada.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Por sentencia del 19 de septiembre de 2019, el Tribunal Décimo Tercero (13°) de Primera Instancia de Sustanciación, Mediación y Ejecución del Circuito Judicial del Trabajo del Área Metropolitana de Caracas, declaró     -entre otras cosas- que el Poder Judicial Venezolano tiene jurisdicción para conocer del asunto frente al juez extranjero, en los términos siguientes: </w:t>
      </w:r>
    </w:p>
    <w:p w:rsidR="00BD0E25" w:rsidRPr="00BD0E25" w:rsidRDefault="00BD0E25" w:rsidP="00BD0E25">
      <w:pPr>
        <w:widowControl/>
        <w:autoSpaceDE/>
        <w:autoSpaceDN/>
        <w:spacing w:after="120"/>
        <w:ind w:left="1134" w:right="902"/>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r w:rsidRPr="00BD0E25">
        <w:rPr>
          <w:rFonts w:ascii="Times New Roman" w:eastAsia="Times New Roman" w:hAnsi="Times New Roman" w:cs="Times New Roman"/>
          <w:i/>
          <w:iCs/>
          <w:color w:val="000000"/>
          <w:sz w:val="24"/>
          <w:szCs w:val="24"/>
          <w:lang w:val="es-VE" w:eastAsia="es-ES_tradnl"/>
        </w:rPr>
        <w:t>El argumento de inmunidad de jurisdicción esgrimido por la parte demandada, nos llevaría al absurdo pretender que los trabajadores que prestan servicio en la Embajada de la República del Ecuador, estarían indefensos y excluidos de acudir a los tribunales venezolanos y ejercer la garantía de la tutela judicial efectiva. Siendo que los derechos laborales son derechos son derechos constitucionales y, de conformidad con el artículo 2 de la Ley Orgánica del Trabajo, de los Trabajadores y las Trabajadoras, son de orden público y de aplicación imperativa, priorizando el respeto a los derechos humanos. </w:t>
      </w:r>
    </w:p>
    <w:p w:rsidR="00BD0E25" w:rsidRPr="00BD0E25" w:rsidRDefault="00BD0E25" w:rsidP="00BD0E25">
      <w:pPr>
        <w:widowControl/>
        <w:autoSpaceDE/>
        <w:autoSpaceDN/>
        <w:spacing w:after="120"/>
        <w:ind w:left="1134" w:right="902"/>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Asimismo, ya la Sala Político Administrativa del Tribunal Supremo de Justicia se ha pronunciado en reiteradas oportunidades sobre la aplicación de las leyes laborales venezolanas a los trabajadores que prestan servicios dentro de las diferentes embajadas que existen en territorio venezolano. Afirmando, que cuando se trate de la participación de una embajada en actos de derecho privado, la inmunidad de jurisdicción no puede ser invocada. En consecuencia, considera esta juzgadora, que los ciudadanos que hayan prestado servicio en la Embajada de la República del Ecuador, en el territorio de la República Bolivariana de Venezuela, tienen derecho a acudir ante los tribunales laborales venezolanos. Y Así se decide. </w:t>
      </w:r>
    </w:p>
    <w:p w:rsidR="00BD0E25" w:rsidRPr="00BD0E25" w:rsidRDefault="00BD0E25" w:rsidP="00BD0E25">
      <w:pPr>
        <w:widowControl/>
        <w:autoSpaceDE/>
        <w:autoSpaceDN/>
        <w:spacing w:after="120"/>
        <w:ind w:left="1134" w:right="902"/>
        <w:jc w:val="center"/>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lastRenderedPageBreak/>
        <w:t>DECISIÓN</w:t>
      </w:r>
    </w:p>
    <w:p w:rsidR="00BD0E25" w:rsidRPr="00BD0E25" w:rsidRDefault="00BD0E25" w:rsidP="00BD0E25">
      <w:pPr>
        <w:widowControl/>
        <w:autoSpaceDE/>
        <w:autoSpaceDN/>
        <w:spacing w:after="120"/>
        <w:ind w:left="1134" w:right="902"/>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Hechas las anteriores consideraciones, y por los argumentos esgrimidos ut supra, se niega la solicitud de declaratoria de falta de jurisdicción y se afirma que los Tribunales del Trabajo de la República Bolivariana de Venezuela sí tienen jurisdicción para conocer de las demandas por prestaciones sociales y otros conceptos derivados de relacionados de trabajo prestada en las embajadas de estados extranjeros que funcionen en territorio venezolano </w:t>
      </w: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Luego, el 25 de septiembre de 2019, la apoderada judicial de la accionada ejerció recurso de regulación de jurisdicción contra la anterior decisión.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Por diligencia del 4 de octubre de 2019, la parte actora solicitó al Tribunal de la causa “(…) </w:t>
      </w:r>
      <w:r w:rsidRPr="00BD0E25">
        <w:rPr>
          <w:rFonts w:ascii="Times New Roman" w:eastAsia="Times New Roman" w:hAnsi="Times New Roman" w:cs="Times New Roman"/>
          <w:i/>
          <w:iCs/>
          <w:color w:val="000000"/>
          <w:sz w:val="24"/>
          <w:szCs w:val="24"/>
          <w:lang w:val="es-VE" w:eastAsia="es-ES_tradnl"/>
        </w:rPr>
        <w:t>se sirva a reprogramar la prolongación de la Audiencia Preliminar para otra fecha </w:t>
      </w: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Mediante Oficio S/N de fecha 14 de octubre de 2019, el Tribunal Décimo Tercero (13°) de Primera Instancia de Sustanciación, Mediación y Ejecución del Circuito Judicial del Trabajo del Área Metropolitana de Caracas, ordenó la remisión de las actuaciones a esta Máxima Instancia.  </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 w:eastAsia="es-ES_tradnl"/>
        </w:rPr>
        <w:t> </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 w:eastAsia="es-ES_tradnl"/>
        </w:rPr>
        <w:t>II</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 w:eastAsia="es-ES_tradnl"/>
        </w:rPr>
        <w:t>CONSIDERACIONES PARA DECIDIR</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shd w:val="clear" w:color="auto" w:fill="FFFFFF"/>
        <w:autoSpaceDE/>
        <w:autoSpaceDN/>
        <w:spacing w:before="200" w:after="200" w:line="330" w:lineRule="atLeast"/>
        <w:ind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xml:space="preserve">Corresponde a esta Sala Político-Administrativa conocer del recurso </w:t>
      </w:r>
      <w:proofErr w:type="gramStart"/>
      <w:r w:rsidRPr="00BD0E25">
        <w:rPr>
          <w:rFonts w:ascii="Times New Roman" w:eastAsia="Times New Roman" w:hAnsi="Times New Roman" w:cs="Times New Roman"/>
          <w:color w:val="000000"/>
          <w:sz w:val="24"/>
          <w:szCs w:val="24"/>
          <w:lang w:val="es-ES" w:eastAsia="es-ES_tradnl"/>
        </w:rPr>
        <w:t>regulación  de</w:t>
      </w:r>
      <w:proofErr w:type="gramEnd"/>
      <w:r w:rsidRPr="00BD0E25">
        <w:rPr>
          <w:rFonts w:ascii="Times New Roman" w:eastAsia="Times New Roman" w:hAnsi="Times New Roman" w:cs="Times New Roman"/>
          <w:color w:val="000000"/>
          <w:sz w:val="24"/>
          <w:szCs w:val="24"/>
          <w:lang w:val="es-ES" w:eastAsia="es-ES_tradnl"/>
        </w:rPr>
        <w:t xml:space="preserve"> jurisdicción incoado en la presente causa de acuerdo a la competencia atribuida en los artículos 23, numeral 20, de la Ley Orgánica de la Jurisdicción Contencioso Administrativa y 26, numeral 20, de la Ley Orgánica del Tribunal Supremo de Justicia, en concordancia con los artículos 62 y 66 del Código de Procedimiento Civil, para lo cual observa:</w:t>
      </w:r>
    </w:p>
    <w:p w:rsidR="00BD0E25" w:rsidRPr="00BD0E25" w:rsidRDefault="00BD0E25" w:rsidP="00BD0E25">
      <w:pPr>
        <w:widowControl/>
        <w:autoSpaceDE/>
        <w:autoSpaceDN/>
        <w:spacing w:after="120" w:line="330" w:lineRule="atLeast"/>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De la lectura del escrito libelar, se desprende</w:t>
      </w:r>
      <w:r w:rsidRPr="00BD0E25">
        <w:rPr>
          <w:rFonts w:ascii="Times New Roman" w:eastAsia="Times New Roman" w:hAnsi="Times New Roman" w:cs="Times New Roman"/>
          <w:color w:val="000000"/>
          <w:sz w:val="24"/>
          <w:szCs w:val="24"/>
          <w:lang w:val="es-VE" w:eastAsia="es-ES_tradnl"/>
        </w:rPr>
        <w:t> que la accionante alegó</w:t>
      </w:r>
      <w:r w:rsidRPr="00BD0E25">
        <w:rPr>
          <w:rFonts w:ascii="Times New Roman" w:eastAsia="Times New Roman" w:hAnsi="Times New Roman" w:cs="Times New Roman"/>
          <w:i/>
          <w:iCs/>
          <w:color w:val="000000"/>
          <w:sz w:val="24"/>
          <w:szCs w:val="24"/>
          <w:lang w:val="es-VE" w:eastAsia="es-ES_tradnl"/>
        </w:rPr>
        <w:t> </w:t>
      </w:r>
      <w:r w:rsidRPr="00BD0E25">
        <w:rPr>
          <w:rFonts w:ascii="Times New Roman" w:eastAsia="Times New Roman" w:hAnsi="Times New Roman" w:cs="Times New Roman"/>
          <w:color w:val="000000"/>
          <w:sz w:val="24"/>
          <w:szCs w:val="24"/>
          <w:lang w:val="es-VE" w:eastAsia="es-ES_tradnl"/>
        </w:rPr>
        <w:t>que a partir del día 1° de agosto de 1995, comenzó a prestar sus servicios como “</w:t>
      </w:r>
      <w:proofErr w:type="gramStart"/>
      <w:r w:rsidRPr="00BD0E25">
        <w:rPr>
          <w:rFonts w:ascii="Times New Roman" w:eastAsia="Times New Roman" w:hAnsi="Times New Roman" w:cs="Times New Roman"/>
          <w:i/>
          <w:iCs/>
          <w:color w:val="000000"/>
          <w:sz w:val="24"/>
          <w:szCs w:val="24"/>
          <w:lang w:val="es-VE" w:eastAsia="es-ES_tradnl"/>
        </w:rPr>
        <w:t>Secretaria</w:t>
      </w:r>
      <w:proofErr w:type="gramEnd"/>
      <w:r w:rsidRPr="00BD0E25">
        <w:rPr>
          <w:rFonts w:ascii="Times New Roman" w:eastAsia="Times New Roman" w:hAnsi="Times New Roman" w:cs="Times New Roman"/>
          <w:i/>
          <w:iCs/>
          <w:color w:val="000000"/>
          <w:sz w:val="24"/>
          <w:szCs w:val="24"/>
          <w:lang w:val="es-VE" w:eastAsia="es-ES_tradnl"/>
        </w:rPr>
        <w:t xml:space="preserve"> de la Misión Diplomática</w:t>
      </w:r>
      <w:r w:rsidRPr="00BD0E25">
        <w:rPr>
          <w:rFonts w:ascii="Times New Roman" w:eastAsia="Times New Roman" w:hAnsi="Times New Roman" w:cs="Times New Roman"/>
          <w:color w:val="000000"/>
          <w:sz w:val="24"/>
          <w:szCs w:val="24"/>
          <w:lang w:val="es-VE" w:eastAsia="es-ES_tradnl"/>
        </w:rPr>
        <w:t>” en la Embajada de la República de Ecuador en Venezuela, hasta el día 30 de noviembre de 2018, fecha ésta en que fue despedida. Asimismo,  refirió que  prestó “</w:t>
      </w:r>
      <w:r w:rsidRPr="00BD0E25">
        <w:rPr>
          <w:rFonts w:ascii="Times New Roman" w:eastAsia="Times New Roman" w:hAnsi="Times New Roman" w:cs="Times New Roman"/>
          <w:i/>
          <w:iCs/>
          <w:color w:val="000000"/>
          <w:sz w:val="24"/>
          <w:szCs w:val="24"/>
          <w:lang w:val="es-VE" w:eastAsia="es-ES_tradnl"/>
        </w:rPr>
        <w:t>23 años de servicio de ininterrumpidos</w:t>
      </w:r>
      <w:r w:rsidRPr="00BD0E25">
        <w:rPr>
          <w:rFonts w:ascii="Times New Roman" w:eastAsia="Times New Roman" w:hAnsi="Times New Roman" w:cs="Times New Roman"/>
          <w:color w:val="000000"/>
          <w:sz w:val="24"/>
          <w:szCs w:val="24"/>
          <w:lang w:val="es-VE" w:eastAsia="es-ES_tradnl"/>
        </w:rPr>
        <w:t>”</w:t>
      </w:r>
      <w:r w:rsidRPr="00BD0E25">
        <w:rPr>
          <w:rFonts w:ascii="Times New Roman" w:eastAsia="Times New Roman" w:hAnsi="Times New Roman" w:cs="Times New Roman"/>
          <w:i/>
          <w:iCs/>
          <w:color w:val="000000"/>
          <w:sz w:val="24"/>
          <w:szCs w:val="24"/>
          <w:lang w:val="es-VE" w:eastAsia="es-ES_tradnl"/>
        </w:rPr>
        <w:t> </w:t>
      </w:r>
      <w:r w:rsidRPr="00BD0E25">
        <w:rPr>
          <w:rFonts w:ascii="Times New Roman" w:eastAsia="Times New Roman" w:hAnsi="Times New Roman" w:cs="Times New Roman"/>
          <w:color w:val="000000"/>
          <w:sz w:val="24"/>
          <w:szCs w:val="24"/>
          <w:lang w:val="es-VE" w:eastAsia="es-ES_tradnl"/>
        </w:rPr>
        <w:t>y que durante su relación laboral </w:t>
      </w:r>
      <w:r w:rsidRPr="00BD0E25">
        <w:rPr>
          <w:rFonts w:ascii="Times New Roman" w:eastAsia="Times New Roman" w:hAnsi="Times New Roman" w:cs="Times New Roman"/>
          <w:color w:val="000000"/>
          <w:sz w:val="24"/>
          <w:szCs w:val="24"/>
          <w:lang w:val="es-ES" w:eastAsia="es-ES_tradnl"/>
        </w:rPr>
        <w:t>cumplió con todas las tareas asignadas al cargo que ocupaba “(…) </w:t>
      </w:r>
      <w:r w:rsidRPr="00BD0E25">
        <w:rPr>
          <w:rFonts w:ascii="Times New Roman" w:eastAsia="Times New Roman" w:hAnsi="Times New Roman" w:cs="Times New Roman"/>
          <w:i/>
          <w:iCs/>
          <w:color w:val="000000"/>
          <w:sz w:val="24"/>
          <w:szCs w:val="24"/>
          <w:lang w:val="es-ES" w:eastAsia="es-ES_tradnl"/>
        </w:rPr>
        <w:t>siempre subordinada, cumpliendo su horario y asumiendo responsabilidades impuestas por cada Embajador de turno y demás Diplomáticos que estuvieron a lo largo de toda su relación laboral </w:t>
      </w:r>
      <w:r w:rsidRPr="00BD0E25">
        <w:rPr>
          <w:rFonts w:ascii="Times New Roman" w:eastAsia="Times New Roman" w:hAnsi="Times New Roman" w:cs="Times New Roman"/>
          <w:color w:val="000000"/>
          <w:sz w:val="24"/>
          <w:szCs w:val="24"/>
          <w:lang w:val="es-ES" w:eastAsia="es-ES_tradnl"/>
        </w:rPr>
        <w:t>(…)”.</w:t>
      </w:r>
    </w:p>
    <w:p w:rsidR="00BD0E25" w:rsidRPr="00BD0E25" w:rsidRDefault="00BD0E25" w:rsidP="00BD0E25">
      <w:pPr>
        <w:widowControl/>
        <w:autoSpaceDE/>
        <w:autoSpaceDN/>
        <w:spacing w:after="120" w:line="330" w:lineRule="atLeast"/>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ES" w:eastAsia="es-ES_tradnl"/>
        </w:rPr>
        <w:t>            Ahora bien, en la oportunidad de la celebración de la Audiencia Preliminar (12 de agosto de 2019), la representación judicial de la Embajada de la República de Ecuador en Venezuela alegó la “</w:t>
      </w:r>
      <w:r w:rsidRPr="00BD0E25">
        <w:rPr>
          <w:rFonts w:ascii="Times New Roman" w:eastAsia="Times New Roman" w:hAnsi="Times New Roman" w:cs="Times New Roman"/>
          <w:i/>
          <w:iCs/>
          <w:color w:val="000000"/>
          <w:sz w:val="24"/>
          <w:szCs w:val="24"/>
          <w:lang w:val="es-ES" w:eastAsia="es-ES_tradnl"/>
        </w:rPr>
        <w:t>falta de jurisdicción de los Tribunales Venezolanos</w:t>
      </w:r>
      <w:r w:rsidRPr="00BD0E25">
        <w:rPr>
          <w:rFonts w:ascii="Times New Roman" w:eastAsia="Times New Roman" w:hAnsi="Times New Roman" w:cs="Times New Roman"/>
          <w:color w:val="000000"/>
          <w:sz w:val="24"/>
          <w:szCs w:val="24"/>
          <w:lang w:val="es-ES" w:eastAsia="es-ES_tradnl"/>
        </w:rPr>
        <w:t>”, para conocer del presente asunto, por lo que posteriormente, por decisión de fecha 19 de septiembre de 2019,</w:t>
      </w:r>
      <w:r w:rsidRPr="00BD0E25">
        <w:rPr>
          <w:rFonts w:ascii="Times New Roman" w:eastAsia="Times New Roman" w:hAnsi="Times New Roman" w:cs="Times New Roman"/>
          <w:color w:val="000000"/>
          <w:sz w:val="24"/>
          <w:szCs w:val="24"/>
          <w:lang w:val="es-VE" w:eastAsia="es-ES_tradnl"/>
        </w:rPr>
        <w:t> el Tribunal Décimo Tercero (13°) de Primera Instancia de Sustanciación, Mediación y Ejecución del Circuito Judicial del Trabajo del Área Metropolitana de Caracas, declaró que el Poder Judicial Venezolano tiene jurisdicción para conocer del presente asunto. (Folios 73 al 76).  </w:t>
      </w:r>
    </w:p>
    <w:p w:rsidR="00BD0E25" w:rsidRPr="00BD0E25" w:rsidRDefault="00BD0E25" w:rsidP="00BD0E25">
      <w:pPr>
        <w:widowControl/>
        <w:autoSpaceDE/>
        <w:autoSpaceDN/>
        <w:spacing w:after="200" w:line="330" w:lineRule="atLeast"/>
        <w:ind w:firstLine="720"/>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Precisado lo que antecede, es importante destacar que esta Sala ha señalado que cuando se está en presencia de una controversia de</w:t>
      </w:r>
      <w:r w:rsidRPr="00BD0E25">
        <w:rPr>
          <w:rFonts w:ascii="Times New Roman" w:eastAsia="Times New Roman" w:hAnsi="Times New Roman" w:cs="Times New Roman"/>
          <w:b/>
          <w:bCs/>
          <w:color w:val="000000"/>
          <w:sz w:val="24"/>
          <w:szCs w:val="24"/>
          <w:lang w:val="es-VE" w:eastAsia="es-ES_tradnl"/>
        </w:rPr>
        <w:t> naturaleza laboral entre un ciudadano y la representación diplomática de un Estado extranjero</w:t>
      </w:r>
      <w:r w:rsidRPr="00BD0E25">
        <w:rPr>
          <w:rFonts w:ascii="Times New Roman" w:eastAsia="Times New Roman" w:hAnsi="Times New Roman" w:cs="Times New Roman"/>
          <w:color w:val="000000"/>
          <w:sz w:val="24"/>
          <w:szCs w:val="24"/>
          <w:lang w:val="es-VE" w:eastAsia="es-ES_tradnl"/>
        </w:rPr>
        <w:t xml:space="preserve">, deben los tribunales ante los cuales se planteen tales reclamaciones entender, que el demandado es la persona para quien efectivamente fue prestado el servicio, esto es, el Estado extranjero y no el funcionario que lo representa, ya que admitir lo contrario, vale decir, que es este último el sujeto pasivo de la acción, conduciría necesariamente a la aplicación del principio de inmunidad de jurisdicción, en desmedro de los derechos e intereses del accionante quien se vería obligado a intentar la demanda en una evidente situación de desigualdad frente a la </w:t>
      </w:r>
      <w:r w:rsidRPr="00BD0E25">
        <w:rPr>
          <w:rFonts w:ascii="Times New Roman" w:eastAsia="Times New Roman" w:hAnsi="Times New Roman" w:cs="Times New Roman"/>
          <w:color w:val="000000"/>
          <w:sz w:val="24"/>
          <w:szCs w:val="24"/>
          <w:lang w:val="es-VE" w:eastAsia="es-ES_tradnl"/>
        </w:rPr>
        <w:lastRenderedPageBreak/>
        <w:t>otra parte, contradiciendo abiertamente la noción de justicia material contenida en la Constitución de la República Bolivariana de Venezuela. (</w:t>
      </w:r>
      <w:r w:rsidRPr="00BD0E25">
        <w:rPr>
          <w:rFonts w:ascii="Times New Roman" w:eastAsia="Times New Roman" w:hAnsi="Times New Roman" w:cs="Times New Roman"/>
          <w:i/>
          <w:iCs/>
          <w:color w:val="000000"/>
          <w:sz w:val="24"/>
          <w:szCs w:val="24"/>
          <w:lang w:val="es-VE" w:eastAsia="es-ES_tradnl"/>
        </w:rPr>
        <w:t>Vid., </w:t>
      </w:r>
      <w:r w:rsidRPr="00BD0E25">
        <w:rPr>
          <w:rFonts w:ascii="Times New Roman" w:eastAsia="Times New Roman" w:hAnsi="Times New Roman" w:cs="Times New Roman"/>
          <w:color w:val="000000"/>
          <w:sz w:val="24"/>
          <w:szCs w:val="24"/>
          <w:lang w:val="es-VE" w:eastAsia="es-ES_tradnl"/>
        </w:rPr>
        <w:t>sentencia de esta Sala Nro. 00070 del 27 de enero de 2016</w:t>
      </w:r>
      <w:r w:rsidRPr="00BD0E25">
        <w:rPr>
          <w:rFonts w:ascii="Times New Roman" w:eastAsia="Times New Roman" w:hAnsi="Times New Roman" w:cs="Times New Roman"/>
          <w:color w:val="000000"/>
          <w:sz w:val="24"/>
          <w:szCs w:val="24"/>
          <w:lang w:val="es-ES_tradnl" w:eastAsia="es-ES_tradnl"/>
        </w:rPr>
        <w:t>).</w:t>
      </w:r>
    </w:p>
    <w:p w:rsidR="00BD0E25" w:rsidRPr="00BD0E25" w:rsidRDefault="00BD0E25" w:rsidP="00BD0E25">
      <w:pPr>
        <w:widowControl/>
        <w:autoSpaceDE/>
        <w:autoSpaceDN/>
        <w:spacing w:after="200" w:line="330" w:lineRule="atLeast"/>
        <w:ind w:firstLine="720"/>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De manera que, se debe examinar el presente asunto a la luz de los criterios aplicables a los casos en que la parte demandada es un Estado extranjero, y no el agente diplomático que lo representa, y en tal sentido de acuerdo a los criterios ya reiterados por esta Sala Político-Administrativa, se ha sostenido, en cuanto a la jurisdicción de los tribunales venezolanos para conocer de las demandas incoadas en contra de un Estado extranjero, lo siguiente: </w:t>
      </w:r>
    </w:p>
    <w:p w:rsidR="00BD0E25" w:rsidRPr="00BD0E25" w:rsidRDefault="00BD0E25" w:rsidP="00BD0E25">
      <w:pPr>
        <w:widowControl/>
        <w:autoSpaceDE/>
        <w:autoSpaceDN/>
        <w:spacing w:after="200"/>
        <w:ind w:left="1259" w:right="91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r w:rsidRPr="00BD0E25">
        <w:rPr>
          <w:rFonts w:ascii="Times New Roman" w:eastAsia="Times New Roman" w:hAnsi="Times New Roman" w:cs="Times New Roman"/>
          <w:i/>
          <w:iCs/>
          <w:color w:val="000000"/>
          <w:sz w:val="24"/>
          <w:szCs w:val="24"/>
          <w:lang w:val="es-VE" w:eastAsia="es-ES_tradnl"/>
        </w:rPr>
        <w:t>Precisado lo anterior, pasa este Alto Tribunal a examinar el presente asunto a la luz de los criterios aplicables a los casos en que la parte demandada es un Estado extranjero, y no el agente diplomático que lo representa. Ya la Sala Político-Administrativa de la extinta Corte Suprema de Justicia, en sentencia Nº 505, del 30 de julio de 1998, se había pronunciado al respecto, habiendo hecho previamente las siguientes consideraciones: </w:t>
      </w:r>
    </w:p>
    <w:p w:rsidR="00BD0E25" w:rsidRPr="00BD0E25" w:rsidRDefault="00BD0E25" w:rsidP="00BD0E25">
      <w:pPr>
        <w:widowControl/>
        <w:autoSpaceDE/>
        <w:autoSpaceDN/>
        <w:spacing w:after="200"/>
        <w:ind w:left="1259" w:right="919" w:firstLine="125"/>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La inmunidad de jurisdicción es el principio según el cual ningún Estado, a menos que consienta en ello voluntariamente, puede ser sometido a la jurisdicción de los tribunales de otro Estado. Es una consecuencia de la igualdad entre Estados (par in parem non habet jurisdictionen), que a su vez deriva de la subjetividad jurídica y constituye un principio universal de Derecho Internacional Privado. </w:t>
      </w:r>
    </w:p>
    <w:p w:rsidR="00BD0E25" w:rsidRPr="00BD0E25" w:rsidRDefault="00BD0E25" w:rsidP="00BD0E25">
      <w:pPr>
        <w:widowControl/>
        <w:autoSpaceDE/>
        <w:autoSpaceDN/>
        <w:spacing w:after="200"/>
        <w:ind w:left="1259" w:right="919"/>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Originalmente, este principio de exención de jurisdicción se expresaba en términos absolutos. En efecto, hasta la Primera Guerra Mundial, la sociedad internacional no aceptó excepciones a esta regla. De manera que, salvo que fuera consentido expresamente, no podía un Estado ser sometido a un proceso judicial por ante órganos jurisdiccionales de otro Estado. </w:t>
      </w:r>
    </w:p>
    <w:p w:rsidR="00BD0E25" w:rsidRPr="00BD0E25" w:rsidRDefault="00BD0E25" w:rsidP="00BD0E25">
      <w:pPr>
        <w:widowControl/>
        <w:autoSpaceDE/>
        <w:autoSpaceDN/>
        <w:spacing w:after="200"/>
        <w:ind w:left="1259" w:right="919"/>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Ahora bien, en virtud de la creciente participación de los Estados soberanos en actividades de naturaleza empresarial, el principio citado fue admitiendo ciertas restricciones. Así, con la aparición de la Unión Soviética y del bloque socialista, tanto la jurisprudencia como la doctrina de los Estados occidentales matizaron la tesis de la inmunidad de jurisdicción como regla de aplicación absoluta. Con el propósito de justificar y apoyar acciones judiciales contra el nuevo bloque soviético, dirigidas a reclamar bienes del patrimonio de ese Estado situados en el extranjero, surgió el criterio conforme al cual si los particulares o personas privadas extranjeras estaban sujetos a la jurisdicción de un Estado por los actos de naturaleza comercial o industrial que realizaren en el territorio del mismo, no había razón para que un Estado no pudiera ser sometido a la jurisdicción de otro Estado, por actos de índole comercial o industrial. </w:t>
      </w:r>
    </w:p>
    <w:p w:rsidR="00BD0E25" w:rsidRPr="00BD0E25" w:rsidRDefault="00BD0E25" w:rsidP="00BD0E25">
      <w:pPr>
        <w:widowControl/>
        <w:autoSpaceDE/>
        <w:autoSpaceDN/>
        <w:spacing w:after="200"/>
        <w:ind w:left="1259" w:right="919"/>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A partir de ese momento y hasta el presente, el principio de inmunidad jurisdiccional es de carácter relativo, vale decir, que admite excepciones según la naturaleza jurídica de la actuación del sujeto de Derecho Internacional Público de que se trate. En general, puede afirmarse que se acoge el principio de inmunidad de jurisdicción cuando se trata de actos soberanos (acta iure imperii); mientras que cuando se esté en presencia de actos mercantiles o de derecho privado (acta iure gestionis), la inmunidad no podrá ser invocada. </w:t>
      </w:r>
    </w:p>
    <w:p w:rsidR="00BD0E25" w:rsidRPr="00BD0E25" w:rsidRDefault="00BD0E25" w:rsidP="00BD0E25">
      <w:pPr>
        <w:widowControl/>
        <w:autoSpaceDE/>
        <w:autoSpaceDN/>
        <w:spacing w:after="200"/>
        <w:ind w:left="1259" w:right="919" w:firstLine="125"/>
        <w:jc w:val="both"/>
        <w:rPr>
          <w:rFonts w:ascii="Calibri" w:eastAsia="Times New Roman" w:hAnsi="Calibri" w:cs="Calibri"/>
          <w:color w:val="000000"/>
          <w:lang w:val="es-VE" w:eastAsia="es-ES_tradnl"/>
        </w:rPr>
      </w:pPr>
      <w:r w:rsidRPr="00BD0E25">
        <w:rPr>
          <w:rFonts w:ascii="Times New Roman" w:eastAsia="Times New Roman" w:hAnsi="Times New Roman" w:cs="Times New Roman"/>
          <w:i/>
          <w:iCs/>
          <w:color w:val="000000"/>
          <w:sz w:val="24"/>
          <w:szCs w:val="24"/>
          <w:lang w:val="es-VE" w:eastAsia="es-ES_tradnl"/>
        </w:rPr>
        <w:t>Concluyó la Sala que en Venezuela, tanto la doctrina como la jurisprudencia convergen en que los Estados extranjeros no pueden ser demandados ante los tribunales venezolanos, si el hecho que motivó la demanda fue producido dentro de las funciones soberanas del Estado (acta iure imperii). Por el contrario, si el Estado extranjero actuó como lo haría cualquier persona de derecho privado (acta iure gestionis), estaría sometido a la jurisdicción de los tribunales venezolanos </w:t>
      </w:r>
      <w:r w:rsidRPr="00BD0E25">
        <w:rPr>
          <w:rFonts w:ascii="Times New Roman" w:eastAsia="Times New Roman" w:hAnsi="Times New Roman" w:cs="Times New Roman"/>
          <w:color w:val="000000"/>
          <w:sz w:val="24"/>
          <w:szCs w:val="24"/>
          <w:lang w:val="es-VE" w:eastAsia="es-ES_tradnl"/>
        </w:rPr>
        <w:t>(…)”. (</w:t>
      </w:r>
      <w:r w:rsidRPr="00BD0E25">
        <w:rPr>
          <w:rFonts w:ascii="Times New Roman" w:eastAsia="Times New Roman" w:hAnsi="Times New Roman" w:cs="Times New Roman"/>
          <w:i/>
          <w:iCs/>
          <w:color w:val="000000"/>
          <w:sz w:val="24"/>
          <w:szCs w:val="24"/>
          <w:lang w:val="es-VE" w:eastAsia="es-ES_tradnl"/>
        </w:rPr>
        <w:t>Vid., </w:t>
      </w:r>
      <w:r w:rsidRPr="00BD0E25">
        <w:rPr>
          <w:rFonts w:ascii="Times New Roman" w:eastAsia="Times New Roman" w:hAnsi="Times New Roman" w:cs="Times New Roman"/>
          <w:color w:val="000000"/>
          <w:sz w:val="24"/>
          <w:szCs w:val="24"/>
          <w:lang w:val="es-VE" w:eastAsia="es-ES_tradnl"/>
        </w:rPr>
        <w:t>Sentencia de esta Sala Nro. 00070 del 27 de enero de 2016, caso: </w:t>
      </w:r>
      <w:proofErr w:type="spellStart"/>
      <w:r w:rsidRPr="00BD0E25">
        <w:rPr>
          <w:rFonts w:ascii="Times New Roman" w:eastAsia="Times New Roman" w:hAnsi="Times New Roman" w:cs="Times New Roman"/>
          <w:i/>
          <w:iCs/>
          <w:color w:val="000000"/>
          <w:sz w:val="24"/>
          <w:szCs w:val="24"/>
          <w:lang w:val="es-ES" w:eastAsia="es-ES_tradnl"/>
        </w:rPr>
        <w:t>Sahaila</w:t>
      </w:r>
      <w:proofErr w:type="spellEnd"/>
      <w:r w:rsidRPr="00BD0E25">
        <w:rPr>
          <w:rFonts w:ascii="Times New Roman" w:eastAsia="Times New Roman" w:hAnsi="Times New Roman" w:cs="Times New Roman"/>
          <w:i/>
          <w:iCs/>
          <w:color w:val="000000"/>
          <w:sz w:val="24"/>
          <w:szCs w:val="24"/>
          <w:lang w:val="es-ES" w:eastAsia="es-ES_tradnl"/>
        </w:rPr>
        <w:t xml:space="preserve"> </w:t>
      </w:r>
      <w:proofErr w:type="spellStart"/>
      <w:r w:rsidRPr="00BD0E25">
        <w:rPr>
          <w:rFonts w:ascii="Times New Roman" w:eastAsia="Times New Roman" w:hAnsi="Times New Roman" w:cs="Times New Roman"/>
          <w:i/>
          <w:iCs/>
          <w:color w:val="000000"/>
          <w:sz w:val="24"/>
          <w:szCs w:val="24"/>
          <w:lang w:val="es-ES" w:eastAsia="es-ES_tradnl"/>
        </w:rPr>
        <w:t>Estebana</w:t>
      </w:r>
      <w:proofErr w:type="spellEnd"/>
      <w:r w:rsidRPr="00BD0E25">
        <w:rPr>
          <w:rFonts w:ascii="Times New Roman" w:eastAsia="Times New Roman" w:hAnsi="Times New Roman" w:cs="Times New Roman"/>
          <w:i/>
          <w:iCs/>
          <w:color w:val="000000"/>
          <w:sz w:val="24"/>
          <w:szCs w:val="24"/>
          <w:lang w:val="es-ES" w:eastAsia="es-ES_tradnl"/>
        </w:rPr>
        <w:t xml:space="preserve"> La Cruz </w:t>
      </w:r>
      <w:proofErr w:type="spellStart"/>
      <w:r w:rsidRPr="00BD0E25">
        <w:rPr>
          <w:rFonts w:ascii="Times New Roman" w:eastAsia="Times New Roman" w:hAnsi="Times New Roman" w:cs="Times New Roman"/>
          <w:i/>
          <w:iCs/>
          <w:color w:val="000000"/>
          <w:sz w:val="24"/>
          <w:szCs w:val="24"/>
          <w:lang w:val="es-ES" w:eastAsia="es-ES_tradnl"/>
        </w:rPr>
        <w:t>Eraso</w:t>
      </w:r>
      <w:proofErr w:type="spellEnd"/>
      <w:r w:rsidRPr="00BD0E25">
        <w:rPr>
          <w:rFonts w:ascii="Times New Roman" w:eastAsia="Times New Roman" w:hAnsi="Times New Roman" w:cs="Times New Roman"/>
          <w:i/>
          <w:iCs/>
          <w:color w:val="000000"/>
          <w:sz w:val="24"/>
          <w:szCs w:val="24"/>
          <w:lang w:val="es-ES_tradnl" w:eastAsia="es-ES_tradnl"/>
        </w:rPr>
        <w:t> vs. Embajada del Reino de los Países Bajos en Venezuela</w:t>
      </w:r>
      <w:r w:rsidRPr="00BD0E25">
        <w:rPr>
          <w:rFonts w:ascii="Times New Roman" w:eastAsia="Times New Roman" w:hAnsi="Times New Roman" w:cs="Times New Roman"/>
          <w:color w:val="000000"/>
          <w:sz w:val="24"/>
          <w:szCs w:val="24"/>
          <w:lang w:val="es-VE" w:eastAsia="es-ES_tradnl"/>
        </w:rPr>
        <w:t>).</w:t>
      </w:r>
    </w:p>
    <w:p w:rsidR="00BD0E25" w:rsidRPr="00BD0E25" w:rsidRDefault="00BD0E25" w:rsidP="00BD0E25">
      <w:pPr>
        <w:widowControl/>
        <w:autoSpaceDE/>
        <w:autoSpaceDN/>
        <w:spacing w:after="120"/>
        <w:ind w:left="1259" w:right="91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120" w:line="240" w:lineRule="atLeast"/>
        <w:ind w:firstLine="708"/>
        <w:jc w:val="both"/>
        <w:rPr>
          <w:rFonts w:ascii="Calibri" w:eastAsia="Times New Roman" w:hAnsi="Calibri" w:cs="Calibri"/>
          <w:color w:val="000000"/>
          <w:sz w:val="16"/>
          <w:szCs w:val="16"/>
          <w:lang w:val="es-VE" w:eastAsia="es-ES_tradnl"/>
        </w:rPr>
      </w:pPr>
      <w:r w:rsidRPr="00BD0E25">
        <w:rPr>
          <w:rFonts w:ascii="Times New Roman" w:eastAsia="Times New Roman" w:hAnsi="Times New Roman" w:cs="Times New Roman"/>
          <w:color w:val="000000"/>
          <w:sz w:val="24"/>
          <w:szCs w:val="24"/>
          <w:lang w:val="es-VE" w:eastAsia="es-ES_tradnl"/>
        </w:rPr>
        <w:lastRenderedPageBreak/>
        <w:t>Conforme al criterio anteriormente expuesto, y visto que la ciudadana María Augusta Torres Villavicencio demandó a la Embajada de la República de Ecuador en Venezuela para que fuese condenada </w:t>
      </w:r>
      <w:r w:rsidRPr="00BD0E25">
        <w:rPr>
          <w:rFonts w:ascii="Times New Roman" w:eastAsia="Times New Roman" w:hAnsi="Times New Roman" w:cs="Times New Roman"/>
          <w:color w:val="000000"/>
          <w:sz w:val="24"/>
          <w:szCs w:val="24"/>
          <w:lang w:val="es-ES" w:eastAsia="es-ES_tradnl"/>
        </w:rPr>
        <w:t>al pago de cantidades de dinero por el presunto incumplimiento de beneficios laborales </w:t>
      </w:r>
      <w:r w:rsidRPr="00BD0E25">
        <w:rPr>
          <w:rFonts w:ascii="Times New Roman" w:eastAsia="Times New Roman" w:hAnsi="Times New Roman" w:cs="Times New Roman"/>
          <w:color w:val="000000"/>
          <w:sz w:val="24"/>
          <w:szCs w:val="24"/>
          <w:lang w:val="es-VE" w:eastAsia="es-ES_tradnl"/>
        </w:rPr>
        <w:t>derivados de la relación de trabajo que existió entre las partes, lo cual, evidentemente, se encuentra fuera del ámbito de las funciones soberanas del Estado demandado, y que nada tiene que ver con la esencia de su actividad gubernamental, resulta forzoso para esta Sala declarar que el Poder Judicial Venezolano tiene jurisdicción para conocer de la referida pretensión. </w:t>
      </w:r>
      <w:r w:rsidRPr="00BD0E25">
        <w:rPr>
          <w:rFonts w:ascii="Times New Roman" w:eastAsia="Times New Roman" w:hAnsi="Times New Roman" w:cs="Times New Roman"/>
          <w:b/>
          <w:bCs/>
          <w:color w:val="000000"/>
          <w:sz w:val="24"/>
          <w:szCs w:val="24"/>
          <w:lang w:val="es-VE" w:eastAsia="es-ES_tradnl"/>
        </w:rPr>
        <w:t>Así se declara</w:t>
      </w: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120" w:line="240" w:lineRule="atLeast"/>
        <w:ind w:firstLine="708"/>
        <w:jc w:val="both"/>
        <w:rPr>
          <w:rFonts w:ascii="Calibri" w:eastAsia="Times New Roman" w:hAnsi="Calibri" w:cs="Calibri"/>
          <w:color w:val="000000"/>
          <w:sz w:val="16"/>
          <w:szCs w:val="16"/>
          <w:lang w:val="es-VE" w:eastAsia="es-ES_tradnl"/>
        </w:rPr>
      </w:pPr>
      <w:r w:rsidRPr="00BD0E25">
        <w:rPr>
          <w:rFonts w:ascii="Times New Roman" w:eastAsia="Times New Roman" w:hAnsi="Times New Roman" w:cs="Times New Roman"/>
          <w:color w:val="000000"/>
          <w:sz w:val="24"/>
          <w:szCs w:val="24"/>
          <w:lang w:val="es-VE" w:eastAsia="es-ES_tradnl"/>
        </w:rPr>
        <w:t> En consecuencia, se declara </w:t>
      </w:r>
      <w:r w:rsidRPr="00BD0E25">
        <w:rPr>
          <w:rFonts w:ascii="Times New Roman" w:eastAsia="Times New Roman" w:hAnsi="Times New Roman" w:cs="Times New Roman"/>
          <w:b/>
          <w:bCs/>
          <w:color w:val="000000"/>
          <w:sz w:val="24"/>
          <w:szCs w:val="24"/>
          <w:lang w:val="es-VE" w:eastAsia="es-ES_tradnl"/>
        </w:rPr>
        <w:t>sin lugar</w:t>
      </w:r>
      <w:r w:rsidRPr="00BD0E25">
        <w:rPr>
          <w:rFonts w:ascii="Times New Roman" w:eastAsia="Times New Roman" w:hAnsi="Times New Roman" w:cs="Times New Roman"/>
          <w:color w:val="000000"/>
          <w:sz w:val="24"/>
          <w:szCs w:val="24"/>
          <w:lang w:val="es-VE" w:eastAsia="es-ES_tradnl"/>
        </w:rPr>
        <w:t> el recurso de regulación de jurisdicción planteado por la apoderada judicial de la Embajada de la República de Ecuador en Venezuela y se </w:t>
      </w:r>
      <w:r w:rsidRPr="00BD0E25">
        <w:rPr>
          <w:rFonts w:ascii="Times New Roman" w:eastAsia="Times New Roman" w:hAnsi="Times New Roman" w:cs="Times New Roman"/>
          <w:b/>
          <w:bCs/>
          <w:color w:val="000000"/>
          <w:sz w:val="24"/>
          <w:szCs w:val="24"/>
          <w:lang w:val="es-VE" w:eastAsia="es-ES_tradnl"/>
        </w:rPr>
        <w:t>confirma</w:t>
      </w:r>
      <w:r w:rsidRPr="00BD0E25">
        <w:rPr>
          <w:rFonts w:ascii="Times New Roman" w:eastAsia="Times New Roman" w:hAnsi="Times New Roman" w:cs="Times New Roman"/>
          <w:color w:val="000000"/>
          <w:sz w:val="24"/>
          <w:szCs w:val="24"/>
          <w:lang w:val="es-VE" w:eastAsia="es-ES_tradnl"/>
        </w:rPr>
        <w:t> la decisión proferida el 19 de septiembre de 2019, por el Tribunal Décimo Tercero (13°) de Primera Instancia de Sustanciación, Mediación y Ejecución del Circuito Judicial del Trabajo del Área Metropolitana de Caracas. </w:t>
      </w:r>
      <w:r w:rsidRPr="00BD0E25">
        <w:rPr>
          <w:rFonts w:ascii="Times New Roman" w:eastAsia="Times New Roman" w:hAnsi="Times New Roman" w:cs="Times New Roman"/>
          <w:b/>
          <w:bCs/>
          <w:color w:val="000000"/>
          <w:sz w:val="24"/>
          <w:szCs w:val="24"/>
          <w:lang w:val="es-VE" w:eastAsia="es-ES_tradnl"/>
        </w:rPr>
        <w:t>Así se determina</w:t>
      </w: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_tradnl" w:eastAsia="es-ES_tradnl"/>
        </w:rPr>
        <w:t> </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ES_tradnl" w:eastAsia="es-ES_tradnl"/>
        </w:rPr>
        <w:t>III</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VE" w:eastAsia="es-ES_tradnl"/>
        </w:rPr>
        <w:t>DECISIÓN</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80" w:line="330" w:lineRule="atLeast"/>
        <w:ind w:right="51"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Por las razones anteriormente expuestas, esta Sala Político-Administrativa del Tribunal Supremo de Justicia, administrando justicia en nombre de la República y por autoridad de la Ley, declara:</w:t>
      </w:r>
    </w:p>
    <w:p w:rsidR="00BD0E25" w:rsidRPr="00BD0E25" w:rsidRDefault="00BD0E25" w:rsidP="00BD0E25">
      <w:pPr>
        <w:widowControl/>
        <w:autoSpaceDE/>
        <w:autoSpaceDN/>
        <w:spacing w:after="80" w:line="330" w:lineRule="atLeast"/>
        <w:ind w:right="51"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VE" w:eastAsia="es-ES_tradnl"/>
        </w:rPr>
        <w:t>1.-</w:t>
      </w:r>
      <w:r w:rsidRPr="00BD0E25">
        <w:rPr>
          <w:rFonts w:ascii="Times New Roman" w:eastAsia="Times New Roman" w:hAnsi="Times New Roman" w:cs="Times New Roman"/>
          <w:color w:val="000000"/>
          <w:sz w:val="24"/>
          <w:szCs w:val="24"/>
          <w:lang w:val="es-VE" w:eastAsia="es-ES_tradnl"/>
        </w:rPr>
        <w:t> </w:t>
      </w:r>
      <w:r w:rsidRPr="00BD0E25">
        <w:rPr>
          <w:rFonts w:ascii="Times New Roman" w:eastAsia="Times New Roman" w:hAnsi="Times New Roman" w:cs="Times New Roman"/>
          <w:b/>
          <w:bCs/>
          <w:color w:val="000000"/>
          <w:sz w:val="24"/>
          <w:szCs w:val="24"/>
          <w:lang w:val="es-VE" w:eastAsia="es-ES_tradnl"/>
        </w:rPr>
        <w:t>SIN LUGAR</w:t>
      </w:r>
      <w:r w:rsidRPr="00BD0E25">
        <w:rPr>
          <w:rFonts w:ascii="Times New Roman" w:eastAsia="Times New Roman" w:hAnsi="Times New Roman" w:cs="Times New Roman"/>
          <w:color w:val="000000"/>
          <w:sz w:val="24"/>
          <w:szCs w:val="24"/>
          <w:lang w:val="es-VE" w:eastAsia="es-ES_tradnl"/>
        </w:rPr>
        <w:t> el recurso de regulación de jurisdicción ejercido en fecha 25 de septiembre de 2019, por la apoderada judicial de la </w:t>
      </w:r>
      <w:r w:rsidRPr="00BD0E25">
        <w:rPr>
          <w:rFonts w:ascii="Times New Roman" w:eastAsia="Times New Roman" w:hAnsi="Times New Roman" w:cs="Times New Roman"/>
          <w:b/>
          <w:bCs/>
          <w:color w:val="000000"/>
          <w:sz w:val="24"/>
          <w:szCs w:val="24"/>
          <w:lang w:val="es-VE" w:eastAsia="es-ES_tradnl"/>
        </w:rPr>
        <w:t>EMBAJADA DE LA REPÚBLICA DE ECUADOR EN VENEZUELA</w:t>
      </w:r>
      <w:r w:rsidRPr="00BD0E25">
        <w:rPr>
          <w:rFonts w:ascii="Times New Roman" w:eastAsia="Times New Roman" w:hAnsi="Times New Roman" w:cs="Times New Roman"/>
          <w:color w:val="000000"/>
          <w:sz w:val="24"/>
          <w:szCs w:val="24"/>
          <w:lang w:val="es-VE" w:eastAsia="es-ES_tradnl"/>
        </w:rPr>
        <w:t>. </w:t>
      </w:r>
    </w:p>
    <w:p w:rsidR="00BD0E25" w:rsidRPr="00BD0E25" w:rsidRDefault="00BD0E25" w:rsidP="00BD0E25">
      <w:pPr>
        <w:widowControl/>
        <w:autoSpaceDE/>
        <w:autoSpaceDN/>
        <w:spacing w:after="80" w:line="330" w:lineRule="atLeast"/>
        <w:ind w:right="51"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z w:val="24"/>
          <w:szCs w:val="24"/>
          <w:lang w:val="es-VE" w:eastAsia="es-ES_tradnl"/>
        </w:rPr>
        <w:t>2.-</w:t>
      </w:r>
      <w:r w:rsidRPr="00BD0E25">
        <w:rPr>
          <w:rFonts w:ascii="Times New Roman" w:eastAsia="Times New Roman" w:hAnsi="Times New Roman" w:cs="Times New Roman"/>
          <w:color w:val="000000"/>
          <w:sz w:val="24"/>
          <w:szCs w:val="24"/>
          <w:lang w:val="es-VE" w:eastAsia="es-ES_tradnl"/>
        </w:rPr>
        <w:t> Que el </w:t>
      </w:r>
      <w:r w:rsidRPr="00BD0E25">
        <w:rPr>
          <w:rFonts w:ascii="Times New Roman" w:eastAsia="Times New Roman" w:hAnsi="Times New Roman" w:cs="Times New Roman"/>
          <w:b/>
          <w:bCs/>
          <w:color w:val="000000"/>
          <w:sz w:val="24"/>
          <w:szCs w:val="24"/>
          <w:lang w:val="es-VE" w:eastAsia="es-ES_tradnl"/>
        </w:rPr>
        <w:t>PODER JUDICIAL TIENE JURISDICCIÓN </w:t>
      </w:r>
      <w:r w:rsidRPr="00BD0E25">
        <w:rPr>
          <w:rFonts w:ascii="Times New Roman" w:eastAsia="Times New Roman" w:hAnsi="Times New Roman" w:cs="Times New Roman"/>
          <w:color w:val="000000"/>
          <w:sz w:val="24"/>
          <w:szCs w:val="24"/>
          <w:lang w:val="es-VE" w:eastAsia="es-ES_tradnl"/>
        </w:rPr>
        <w:t>para conocer y decidir la demanda por “</w:t>
      </w:r>
      <w:r w:rsidRPr="00BD0E25">
        <w:rPr>
          <w:rFonts w:ascii="Times New Roman" w:eastAsia="Times New Roman" w:hAnsi="Times New Roman" w:cs="Times New Roman"/>
          <w:i/>
          <w:iCs/>
          <w:color w:val="000000"/>
          <w:sz w:val="24"/>
          <w:szCs w:val="24"/>
          <w:lang w:val="es-VE" w:eastAsia="es-ES_tradnl"/>
        </w:rPr>
        <w:t>cobro de prestaciones sociales y otros conceptos, derivados de la relación laboral</w:t>
      </w:r>
      <w:r w:rsidRPr="00BD0E25">
        <w:rPr>
          <w:rFonts w:ascii="Times New Roman" w:eastAsia="Times New Roman" w:hAnsi="Times New Roman" w:cs="Times New Roman"/>
          <w:color w:val="000000"/>
          <w:sz w:val="24"/>
          <w:szCs w:val="24"/>
          <w:lang w:val="es-VE" w:eastAsia="es-ES_tradnl"/>
        </w:rPr>
        <w:t>”, intentada por la ciudadana </w:t>
      </w:r>
      <w:r w:rsidRPr="00BD0E25">
        <w:rPr>
          <w:rFonts w:ascii="Times New Roman" w:eastAsia="Times New Roman" w:hAnsi="Times New Roman" w:cs="Times New Roman"/>
          <w:b/>
          <w:bCs/>
          <w:color w:val="000000"/>
          <w:sz w:val="24"/>
          <w:szCs w:val="24"/>
          <w:lang w:val="es-VE" w:eastAsia="es-ES_tradnl"/>
        </w:rPr>
        <w:t>MARÍA AUGUSTA TORRES VILLAVICENCIO</w:t>
      </w:r>
      <w:r w:rsidRPr="00BD0E25">
        <w:rPr>
          <w:rFonts w:ascii="Times New Roman" w:eastAsia="Times New Roman" w:hAnsi="Times New Roman" w:cs="Times New Roman"/>
          <w:color w:val="000000"/>
          <w:sz w:val="24"/>
          <w:szCs w:val="24"/>
          <w:lang w:val="es-VE" w:eastAsia="es-ES_tradnl"/>
        </w:rPr>
        <w:t> contra la referida Embajada</w:t>
      </w:r>
      <w:r w:rsidRPr="00BD0E25">
        <w:rPr>
          <w:rFonts w:ascii="Times New Roman" w:eastAsia="Times New Roman" w:hAnsi="Times New Roman" w:cs="Times New Roman"/>
          <w:color w:val="000000"/>
          <w:sz w:val="24"/>
          <w:szCs w:val="24"/>
          <w:lang w:val="es-ES" w:eastAsia="es-ES_tradnl"/>
        </w:rPr>
        <w:t>.</w:t>
      </w:r>
      <w:r w:rsidRPr="00BD0E25">
        <w:rPr>
          <w:rFonts w:ascii="Times New Roman" w:eastAsia="Times New Roman" w:hAnsi="Times New Roman" w:cs="Times New Roman"/>
          <w:b/>
          <w:bCs/>
          <w:color w:val="000000"/>
          <w:sz w:val="24"/>
          <w:szCs w:val="24"/>
          <w:lang w:val="es-ES" w:eastAsia="es-ES_tradnl"/>
        </w:rPr>
        <w:t>  </w:t>
      </w:r>
      <w:r w:rsidRPr="00BD0E25">
        <w:rPr>
          <w:rFonts w:ascii="Times New Roman" w:eastAsia="Times New Roman" w:hAnsi="Times New Roman" w:cs="Times New Roman"/>
          <w:color w:val="000000"/>
          <w:sz w:val="24"/>
          <w:szCs w:val="24"/>
          <w:lang w:val="es-VE" w:eastAsia="es-ES_tradnl"/>
        </w:rPr>
        <w:t>En consecuencia, se </w:t>
      </w:r>
      <w:r w:rsidRPr="00BD0E25">
        <w:rPr>
          <w:rFonts w:ascii="Times New Roman" w:eastAsia="Times New Roman" w:hAnsi="Times New Roman" w:cs="Times New Roman"/>
          <w:b/>
          <w:bCs/>
          <w:color w:val="000000"/>
          <w:sz w:val="24"/>
          <w:szCs w:val="24"/>
          <w:lang w:val="es-VE" w:eastAsia="es-ES_tradnl"/>
        </w:rPr>
        <w:t>CONFIRMA </w:t>
      </w:r>
      <w:r w:rsidRPr="00BD0E25">
        <w:rPr>
          <w:rFonts w:ascii="Times New Roman" w:eastAsia="Times New Roman" w:hAnsi="Times New Roman" w:cs="Times New Roman"/>
          <w:color w:val="000000"/>
          <w:sz w:val="24"/>
          <w:szCs w:val="24"/>
          <w:lang w:val="es-VE" w:eastAsia="es-ES_tradnl"/>
        </w:rPr>
        <w:t>la decisión dictada en fecha 19 de septiembre de 2019 por el Tribunal Décimo Tercero (13°) de Primera Instancia de Sustanciación, Mediación y Ejecución del Circuito Judicial del Trabajo del Área Metropolitana de Caracas.</w:t>
      </w:r>
    </w:p>
    <w:p w:rsidR="00BD0E25" w:rsidRPr="00BD0E25" w:rsidRDefault="00BD0E25" w:rsidP="00BD0E25">
      <w:pPr>
        <w:widowControl/>
        <w:autoSpaceDE/>
        <w:autoSpaceDN/>
        <w:spacing w:after="120" w:line="330" w:lineRule="atLeast"/>
        <w:ind w:right="51"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Publíquese, regístrese y comuníquese. Devuélvase el expediente al Juzgado de origen para que la causa continúe su curso de Ley. Cúmplase lo ordenado.</w:t>
      </w:r>
    </w:p>
    <w:p w:rsidR="00BD0E25" w:rsidRPr="00BD0E25" w:rsidRDefault="00BD0E25" w:rsidP="00BD0E25">
      <w:pPr>
        <w:widowControl/>
        <w:autoSpaceDE/>
        <w:autoSpaceDN/>
        <w:ind w:firstLine="708"/>
        <w:jc w:val="both"/>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Dada, firmada y sellada en el Salón de Despacho de la Sala Político-Administrativa del Tribunal Supremo de Justicia, en Caracas, a los cuatro (4) días del mes de diciembre del año dos mil diecinueve (2019). Años 209º de la Independencia y 160º de la Federación.</w:t>
      </w:r>
    </w:p>
    <w:p w:rsidR="00BD0E25" w:rsidRPr="00BD0E25" w:rsidRDefault="00BD0E25" w:rsidP="00BD0E25">
      <w:pPr>
        <w:widowControl/>
        <w:autoSpaceDE/>
        <w:autoSpaceDN/>
        <w:jc w:val="center"/>
        <w:rPr>
          <w:rFonts w:ascii="Calibri" w:eastAsia="Times New Roman" w:hAnsi="Calibri" w:cs="Calibri"/>
          <w:color w:val="000000"/>
          <w:lang w:val="es-VE" w:eastAsia="es-ES_tradnl"/>
        </w:rPr>
      </w:pPr>
      <w:r w:rsidRPr="00BD0E25">
        <w:rPr>
          <w:rFonts w:ascii="Times New Roman" w:eastAsia="Times New Roman" w:hAnsi="Times New Roman" w:cs="Times New Roman"/>
          <w:color w:val="000000"/>
          <w:sz w:val="24"/>
          <w:szCs w:val="24"/>
          <w:lang w:val="es-VE" w:eastAsia="es-ES_tradnl"/>
        </w:rPr>
        <w:t> </w:t>
      </w:r>
    </w:p>
    <w:tbl>
      <w:tblPr>
        <w:tblpPr w:leftFromText="141" w:rightFromText="141" w:vertAnchor="text"/>
        <w:tblW w:w="5000" w:type="pct"/>
        <w:tblCellMar>
          <w:left w:w="0" w:type="dxa"/>
          <w:right w:w="0" w:type="dxa"/>
        </w:tblCellMar>
        <w:tblLook w:val="04A0" w:firstRow="1" w:lastRow="0" w:firstColumn="1" w:lastColumn="0" w:noHBand="0" w:noVBand="1"/>
      </w:tblPr>
      <w:tblGrid>
        <w:gridCol w:w="3719"/>
        <w:gridCol w:w="4844"/>
        <w:gridCol w:w="2477"/>
      </w:tblGrid>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xml:space="preserve">La </w:t>
            </w:r>
            <w:proofErr w:type="gramStart"/>
            <w:r w:rsidRPr="00BD0E25">
              <w:rPr>
                <w:rFonts w:ascii="Times New Roman" w:eastAsia="Times New Roman" w:hAnsi="Times New Roman" w:cs="Times New Roman"/>
                <w:spacing w:val="6"/>
                <w:sz w:val="24"/>
                <w:szCs w:val="24"/>
                <w:lang w:val="es-ES_tradnl" w:eastAsia="es-ES_tradnl"/>
              </w:rPr>
              <w:t>Presidenta</w:t>
            </w:r>
            <w:proofErr w:type="gramEnd"/>
            <w:r w:rsidRPr="00BD0E25">
              <w:rPr>
                <w:rFonts w:ascii="Times New Roman" w:eastAsia="Times New Roman" w:hAnsi="Times New Roman" w:cs="Times New Roman"/>
                <w:spacing w:val="6"/>
                <w:sz w:val="24"/>
                <w:szCs w:val="24"/>
                <w:lang w:val="es-ES_tradnl" w:eastAsia="es-ES_tradnl"/>
              </w:rPr>
              <w:t>,</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z w:val="24"/>
                <w:szCs w:val="24"/>
                <w:lang w:val="es-VE" w:eastAsia="es-ES_tradnl"/>
              </w:rPr>
              <w:t>MARÍA CAROLINA AMELIACH VILLARROEL</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 </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 </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 </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xml:space="preserve">El </w:t>
            </w:r>
            <w:proofErr w:type="gramStart"/>
            <w:r w:rsidRPr="00BD0E25">
              <w:rPr>
                <w:rFonts w:ascii="Times New Roman" w:eastAsia="Times New Roman" w:hAnsi="Times New Roman" w:cs="Times New Roman"/>
                <w:spacing w:val="6"/>
                <w:sz w:val="24"/>
                <w:szCs w:val="24"/>
                <w:lang w:val="es-ES_tradnl" w:eastAsia="es-ES_tradnl"/>
              </w:rPr>
              <w:t>Vicepresidente</w:t>
            </w:r>
            <w:proofErr w:type="gramEnd"/>
            <w:r w:rsidRPr="00BD0E25">
              <w:rPr>
                <w:rFonts w:ascii="Times New Roman" w:eastAsia="Times New Roman" w:hAnsi="Times New Roman" w:cs="Times New Roman"/>
                <w:spacing w:val="6"/>
                <w:sz w:val="24"/>
                <w:szCs w:val="24"/>
                <w:lang w:val="es-ES_tradnl" w:eastAsia="es-ES_tradnl"/>
              </w:rPr>
              <w:t>,</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z w:val="24"/>
                <w:szCs w:val="24"/>
                <w:lang w:val="es-VE" w:eastAsia="es-ES_tradnl"/>
              </w:rPr>
              <w:t>MARCO ANTONIO MEDINA SALAS</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ES_tradnl" w:eastAsia="es-ES_tradnl"/>
              </w:rPr>
              <w:t>La Magistrada - Ponente</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BÁRBARA GABRIELA CÉSAR SIERO</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ES_tradnl" w:eastAsia="es-ES_tradnl"/>
              </w:rPr>
              <w:t> </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 </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El Magistrado,</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INOCENCIO FIGUEROA ARIZALETA</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La Magistrada,</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EULALIA COROMOTO GUERRERO RIVERO</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 </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La Secretaria,</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z w:val="24"/>
                <w:szCs w:val="24"/>
                <w:lang w:val="es-VE" w:eastAsia="es-ES_tradnl"/>
              </w:rPr>
              <w:t>GLORIA MARÍA BOUQUET FAYAD</w:t>
            </w:r>
          </w:p>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lastRenderedPageBreak/>
              <w:t> </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VE" w:eastAsia="es-ES_tradnl"/>
              </w:rPr>
              <w:lastRenderedPageBreak/>
              <w:t> </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ES_tradnl"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b/>
                <w:bCs/>
                <w:color w:val="000000"/>
                <w:sz w:val="24"/>
                <w:szCs w:val="24"/>
                <w:lang w:val="es-ES" w:eastAsia="es-ES_tradnl"/>
              </w:rPr>
              <w:t>En fecha cinco (5) de diciembre del año dos mil diecinueve, se publicó y registró la anterior sentencia bajo el Nº 00785.</w:t>
            </w:r>
          </w:p>
        </w:tc>
        <w:tc>
          <w:tcPr>
            <w:tcW w:w="1100" w:type="pct"/>
            <w:tcMar>
              <w:top w:w="0" w:type="dxa"/>
              <w:left w:w="108" w:type="dxa"/>
              <w:bottom w:w="0" w:type="dxa"/>
              <w:right w:w="108" w:type="dxa"/>
            </w:tcMar>
            <w:hideMark/>
          </w:tcPr>
          <w:p w:rsidR="00BD0E25" w:rsidRPr="00BD0E25" w:rsidRDefault="00BD0E25" w:rsidP="00BD0E25">
            <w:pPr>
              <w:widowControl/>
              <w:autoSpaceDE/>
              <w:autoSpaceDN/>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w:t>
            </w:r>
          </w:p>
        </w:tc>
      </w:tr>
      <w:tr w:rsidR="00BD0E25" w:rsidRPr="00BD0E25" w:rsidTr="00BD0E25">
        <w:tc>
          <w:tcPr>
            <w:tcW w:w="1650" w:type="pct"/>
            <w:tcMar>
              <w:top w:w="0" w:type="dxa"/>
              <w:left w:w="108" w:type="dxa"/>
              <w:bottom w:w="0" w:type="dxa"/>
              <w:right w:w="108" w:type="dxa"/>
            </w:tcMar>
            <w:hideMark/>
          </w:tcPr>
          <w:p w:rsidR="00BD0E25" w:rsidRPr="00BD0E25" w:rsidRDefault="00BD0E25" w:rsidP="00BD0E25">
            <w:pPr>
              <w:widowControl/>
              <w:autoSpaceDE/>
              <w:autoSpaceDN/>
              <w:spacing w:after="200" w:line="253" w:lineRule="atLeast"/>
              <w:jc w:val="center"/>
              <w:rPr>
                <w:rFonts w:ascii="Calibri" w:eastAsia="Times New Roman" w:hAnsi="Calibri" w:cs="Calibri"/>
                <w:lang w:val="es-VE" w:eastAsia="es-ES_tradnl"/>
              </w:rPr>
            </w:pPr>
            <w:r w:rsidRPr="00BD0E25">
              <w:rPr>
                <w:rFonts w:ascii="Times New Roman" w:eastAsia="Times New Roman" w:hAnsi="Times New Roman" w:cs="Times New Roman"/>
                <w:b/>
                <w:bCs/>
                <w:spacing w:val="6"/>
                <w:sz w:val="24"/>
                <w:szCs w:val="24"/>
                <w:lang w:val="es-VE" w:eastAsia="es-ES_tradnl"/>
              </w:rPr>
              <w:t> </w:t>
            </w:r>
          </w:p>
        </w:tc>
        <w:tc>
          <w:tcPr>
            <w:tcW w:w="2150" w:type="pct"/>
            <w:tcMar>
              <w:top w:w="0" w:type="dxa"/>
              <w:left w:w="108" w:type="dxa"/>
              <w:bottom w:w="0" w:type="dxa"/>
              <w:right w:w="108" w:type="dxa"/>
            </w:tcMar>
            <w:hideMark/>
          </w:tcPr>
          <w:p w:rsidR="00BD0E25" w:rsidRPr="00BD0E25" w:rsidRDefault="00BD0E25" w:rsidP="00BD0E25">
            <w:pPr>
              <w:widowControl/>
              <w:autoSpaceDE/>
              <w:autoSpaceDN/>
              <w:spacing w:after="200" w:line="253" w:lineRule="atLeast"/>
              <w:jc w:val="center"/>
              <w:rPr>
                <w:rFonts w:ascii="Calibri" w:eastAsia="Times New Roman" w:hAnsi="Calibri" w:cs="Calibri"/>
                <w:lang w:val="es-VE" w:eastAsia="es-ES_tradnl"/>
              </w:rPr>
            </w:pPr>
            <w:r w:rsidRPr="00BD0E25">
              <w:rPr>
                <w:rFonts w:ascii="Times New Roman" w:eastAsia="Times New Roman" w:hAnsi="Times New Roman" w:cs="Times New Roman"/>
                <w:sz w:val="24"/>
                <w:szCs w:val="24"/>
                <w:lang w:val="es-VE" w:eastAsia="es-ES_tradnl"/>
              </w:rPr>
              <w:t>La Secretaria,</w:t>
            </w:r>
          </w:p>
          <w:p w:rsidR="00BD0E25" w:rsidRPr="00BD0E25" w:rsidRDefault="00BD0E25" w:rsidP="00BD0E25">
            <w:pPr>
              <w:widowControl/>
              <w:autoSpaceDE/>
              <w:autoSpaceDN/>
              <w:spacing w:after="200" w:line="253" w:lineRule="atLeast"/>
              <w:jc w:val="center"/>
              <w:rPr>
                <w:rFonts w:ascii="Calibri" w:eastAsia="Times New Roman" w:hAnsi="Calibri" w:cs="Calibri"/>
                <w:lang w:val="es-VE" w:eastAsia="es-ES_tradnl"/>
              </w:rPr>
            </w:pPr>
            <w:r w:rsidRPr="00BD0E25">
              <w:rPr>
                <w:rFonts w:ascii="Times New Roman" w:eastAsia="Times New Roman" w:hAnsi="Times New Roman" w:cs="Times New Roman"/>
                <w:b/>
                <w:bCs/>
                <w:sz w:val="24"/>
                <w:szCs w:val="24"/>
                <w:lang w:val="es-VE" w:eastAsia="es-ES_tradnl"/>
              </w:rPr>
              <w:t>GLORIA MARÍA BOUQUET FAYAD</w:t>
            </w:r>
          </w:p>
        </w:tc>
        <w:tc>
          <w:tcPr>
            <w:tcW w:w="1100" w:type="pct"/>
            <w:tcMar>
              <w:top w:w="0" w:type="dxa"/>
              <w:left w:w="108" w:type="dxa"/>
              <w:bottom w:w="0" w:type="dxa"/>
              <w:right w:w="108" w:type="dxa"/>
            </w:tcMar>
            <w:hideMark/>
          </w:tcPr>
          <w:p w:rsidR="00BD0E25" w:rsidRPr="00BD0E25" w:rsidRDefault="00BD0E25" w:rsidP="00BD0E25">
            <w:pPr>
              <w:widowControl/>
              <w:autoSpaceDE/>
              <w:autoSpaceDN/>
              <w:spacing w:after="200" w:line="253" w:lineRule="atLeast"/>
              <w:jc w:val="center"/>
              <w:rPr>
                <w:rFonts w:ascii="Calibri" w:eastAsia="Times New Roman" w:hAnsi="Calibri" w:cs="Calibri"/>
                <w:lang w:val="es-VE" w:eastAsia="es-ES_tradnl"/>
              </w:rPr>
            </w:pPr>
            <w:r w:rsidRPr="00BD0E25">
              <w:rPr>
                <w:rFonts w:ascii="Times New Roman" w:eastAsia="Times New Roman" w:hAnsi="Times New Roman" w:cs="Times New Roman"/>
                <w:spacing w:val="6"/>
                <w:sz w:val="24"/>
                <w:szCs w:val="24"/>
                <w:lang w:val="es-ES_tradnl" w:eastAsia="es-ES_tradnl"/>
              </w:rPr>
              <w:t> </w:t>
            </w:r>
          </w:p>
        </w:tc>
      </w:tr>
    </w:tbl>
    <w:p w:rsidR="00BD0E25" w:rsidRPr="00BD0E25" w:rsidRDefault="00BD0E25" w:rsidP="00BD0E25">
      <w:pPr>
        <w:widowControl/>
        <w:autoSpaceDE/>
        <w:autoSpaceDN/>
        <w:spacing w:after="200" w:line="330" w:lineRule="atLeast"/>
        <w:ind w:firstLine="709"/>
        <w:jc w:val="both"/>
        <w:rPr>
          <w:rFonts w:ascii="Calibri" w:eastAsia="Times New Roman" w:hAnsi="Calibri" w:cs="Calibri"/>
          <w:color w:val="000000"/>
          <w:lang w:val="es-VE" w:eastAsia="es-ES_tradnl"/>
        </w:rPr>
      </w:pPr>
      <w:r w:rsidRPr="00BD0E25">
        <w:rPr>
          <w:rFonts w:ascii="Times New Roman" w:eastAsia="Times New Roman" w:hAnsi="Times New Roman" w:cs="Times New Roman"/>
          <w:b/>
          <w:bCs/>
          <w:color w:val="000000"/>
          <w:spacing w:val="6"/>
          <w:sz w:val="24"/>
          <w:szCs w:val="24"/>
          <w:lang w:val="es-VE" w:eastAsia="es-ES_tradnl"/>
        </w:rPr>
        <w:t> </w:t>
      </w:r>
    </w:p>
    <w:p w:rsidR="003734F8" w:rsidRDefault="003734F8">
      <w:pPr>
        <w:ind w:left="1110"/>
        <w:rPr>
          <w:rFonts w:ascii="Times New Roman"/>
          <w:sz w:val="20"/>
          <w:lang w:val="es-VE"/>
        </w:rPr>
      </w:pPr>
      <w:bookmarkStart w:id="0" w:name="_GoBack"/>
      <w:bookmarkEnd w:id="0"/>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17D98"/>
    <w:rsid w:val="002347A0"/>
    <w:rsid w:val="003734F8"/>
    <w:rsid w:val="00664DFD"/>
    <w:rsid w:val="006E45D6"/>
    <w:rsid w:val="00780698"/>
    <w:rsid w:val="0087593A"/>
    <w:rsid w:val="008B75C6"/>
    <w:rsid w:val="00931EE4"/>
    <w:rsid w:val="009931B6"/>
    <w:rsid w:val="0099423E"/>
    <w:rsid w:val="00AE3E1D"/>
    <w:rsid w:val="00B15D52"/>
    <w:rsid w:val="00B91A91"/>
    <w:rsid w:val="00BD0E25"/>
    <w:rsid w:val="00C94AFA"/>
    <w:rsid w:val="00F67357"/>
    <w:rsid w:val="00FC3D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7B90"/>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217D98"/>
  </w:style>
  <w:style w:type="paragraph" w:styleId="Encabezado">
    <w:name w:val="header"/>
    <w:basedOn w:val="Normal"/>
    <w:link w:val="EncabezadoCar"/>
    <w:uiPriority w:val="99"/>
    <w:semiHidden/>
    <w:unhideWhenUsed/>
    <w:rsid w:val="00BD0E25"/>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EncabezadoCar">
    <w:name w:val="Encabezado Car"/>
    <w:basedOn w:val="Fuentedeprrafopredeter"/>
    <w:link w:val="Encabezado"/>
    <w:uiPriority w:val="99"/>
    <w:semiHidden/>
    <w:rsid w:val="00BD0E25"/>
    <w:rPr>
      <w:rFonts w:ascii="Times New Roman" w:eastAsia="Times New Roman" w:hAnsi="Times New Roman" w:cs="Times New Roman"/>
      <w:sz w:val="24"/>
      <w:szCs w:val="24"/>
      <w:lang w:val="es-VE" w:eastAsia="es-ES_tradnl"/>
    </w:rPr>
  </w:style>
  <w:style w:type="paragraph" w:styleId="Sangra2detindependiente">
    <w:name w:val="Body Text Indent 2"/>
    <w:basedOn w:val="Normal"/>
    <w:link w:val="Sangra2detindependienteCar"/>
    <w:uiPriority w:val="99"/>
    <w:semiHidden/>
    <w:unhideWhenUsed/>
    <w:rsid w:val="00BD0E25"/>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2detindependienteCar">
    <w:name w:val="Sangría 2 de t. independiente Car"/>
    <w:basedOn w:val="Fuentedeprrafopredeter"/>
    <w:link w:val="Sangra2detindependiente"/>
    <w:uiPriority w:val="99"/>
    <w:semiHidden/>
    <w:rsid w:val="00BD0E25"/>
    <w:rPr>
      <w:rFonts w:ascii="Times New Roman" w:eastAsia="Times New Roman" w:hAnsi="Times New Roman" w:cs="Times New Roman"/>
      <w:sz w:val="24"/>
      <w:szCs w:val="24"/>
      <w:lang w:val="es-VE" w:eastAsia="es-ES_tradnl"/>
    </w:rPr>
  </w:style>
  <w:style w:type="paragraph" w:styleId="Sangra3detindependiente">
    <w:name w:val="Body Text Indent 3"/>
    <w:basedOn w:val="Normal"/>
    <w:link w:val="Sangra3detindependienteCar"/>
    <w:uiPriority w:val="99"/>
    <w:semiHidden/>
    <w:unhideWhenUsed/>
    <w:rsid w:val="00BD0E25"/>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3detindependienteCar">
    <w:name w:val="Sangría 3 de t. independiente Car"/>
    <w:basedOn w:val="Fuentedeprrafopredeter"/>
    <w:link w:val="Sangra3detindependiente"/>
    <w:uiPriority w:val="99"/>
    <w:semiHidden/>
    <w:rsid w:val="00BD0E25"/>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9356">
      <w:bodyDiv w:val="1"/>
      <w:marLeft w:val="0"/>
      <w:marRight w:val="0"/>
      <w:marTop w:val="0"/>
      <w:marBottom w:val="0"/>
      <w:divBdr>
        <w:top w:val="none" w:sz="0" w:space="0" w:color="auto"/>
        <w:left w:val="none" w:sz="0" w:space="0" w:color="auto"/>
        <w:bottom w:val="none" w:sz="0" w:space="0" w:color="auto"/>
        <w:right w:val="none" w:sz="0" w:space="0" w:color="auto"/>
      </w:divBdr>
    </w:div>
    <w:div w:id="893469489">
      <w:bodyDiv w:val="1"/>
      <w:marLeft w:val="0"/>
      <w:marRight w:val="0"/>
      <w:marTop w:val="0"/>
      <w:marBottom w:val="0"/>
      <w:divBdr>
        <w:top w:val="none" w:sz="0" w:space="0" w:color="auto"/>
        <w:left w:val="none" w:sz="0" w:space="0" w:color="auto"/>
        <w:bottom w:val="none" w:sz="0" w:space="0" w:color="auto"/>
        <w:right w:val="none" w:sz="0" w:space="0" w:color="auto"/>
      </w:divBdr>
    </w:div>
    <w:div w:id="1023440706">
      <w:bodyDiv w:val="1"/>
      <w:marLeft w:val="0"/>
      <w:marRight w:val="0"/>
      <w:marTop w:val="0"/>
      <w:marBottom w:val="0"/>
      <w:divBdr>
        <w:top w:val="none" w:sz="0" w:space="0" w:color="auto"/>
        <w:left w:val="none" w:sz="0" w:space="0" w:color="auto"/>
        <w:bottom w:val="none" w:sz="0" w:space="0" w:color="auto"/>
        <w:right w:val="none" w:sz="0" w:space="0" w:color="auto"/>
      </w:divBdr>
    </w:div>
    <w:div w:id="172937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3426</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2019-12-07T14:44:00Z</dcterms:created>
  <dcterms:modified xsi:type="dcterms:W3CDTF">2019-12-07T14:44:00Z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